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5769"/>
        <w:gridCol w:w="1963"/>
        <w:gridCol w:w="1906"/>
      </w:tblGrid>
      <w:tr w:rsidR="00C96274" w:rsidRPr="000273C9" w14:paraId="40C28399" w14:textId="77777777" w:rsidTr="00A91759">
        <w:tc>
          <w:tcPr>
            <w:tcW w:w="5920" w:type="dxa"/>
            <w:vMerge w:val="restart"/>
            <w:shd w:val="clear" w:color="auto" w:fill="auto"/>
          </w:tcPr>
          <w:p w14:paraId="7CD35B6D" w14:textId="77777777" w:rsidR="00C96274" w:rsidRPr="000273C9" w:rsidRDefault="00C96274">
            <w:pPr>
              <w:rPr>
                <w:rFonts w:ascii="Helvetica 65 Medium" w:hAnsi="Helvetica 65 Medium"/>
                <w:sz w:val="24"/>
                <w:szCs w:val="24"/>
              </w:rPr>
            </w:pPr>
            <w:bookmarkStart w:id="0" w:name="_top"/>
            <w:bookmarkEnd w:id="0"/>
          </w:p>
          <w:p w14:paraId="53674DB9" w14:textId="407235A5" w:rsidR="00C96274" w:rsidRPr="000273C9" w:rsidRDefault="00CF0841">
            <w:pPr>
              <w:rPr>
                <w:rFonts w:ascii="Helvetica 65 Medium" w:hAnsi="Helvetica 65 Medium"/>
                <w:sz w:val="24"/>
                <w:szCs w:val="24"/>
              </w:rPr>
            </w:pPr>
            <w:r w:rsidRPr="000273C9">
              <w:rPr>
                <w:rFonts w:ascii="Helvetica 65 Medium" w:hAnsi="Helvetica 65 Medium"/>
                <w:noProof/>
                <w:sz w:val="24"/>
                <w:szCs w:val="24"/>
              </w:rPr>
              <w:drawing>
                <wp:inline distT="0" distB="0" distL="0" distR="0" wp14:anchorId="13996F78" wp14:editId="3BFEFE65">
                  <wp:extent cx="810895" cy="422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0895" cy="422910"/>
                          </a:xfrm>
                          <a:prstGeom prst="rect">
                            <a:avLst/>
                          </a:prstGeom>
                          <a:noFill/>
                          <a:ln>
                            <a:noFill/>
                          </a:ln>
                        </pic:spPr>
                      </pic:pic>
                    </a:graphicData>
                  </a:graphic>
                </wp:inline>
              </w:drawing>
            </w:r>
          </w:p>
          <w:p w14:paraId="3D1D860D" w14:textId="77777777" w:rsidR="00C96274" w:rsidRPr="000273C9" w:rsidRDefault="00C96274">
            <w:pPr>
              <w:rPr>
                <w:rFonts w:ascii="Helvetica 65 Medium" w:hAnsi="Helvetica 65 Medium"/>
                <w:sz w:val="24"/>
                <w:szCs w:val="24"/>
              </w:rPr>
            </w:pPr>
          </w:p>
        </w:tc>
        <w:tc>
          <w:tcPr>
            <w:tcW w:w="1985" w:type="dxa"/>
            <w:shd w:val="clear" w:color="auto" w:fill="auto"/>
          </w:tcPr>
          <w:p w14:paraId="30AC8461" w14:textId="77777777" w:rsidR="00C96274" w:rsidRPr="00F33A7F" w:rsidRDefault="00C96274" w:rsidP="00EE2FED">
            <w:pPr>
              <w:rPr>
                <w:rFonts w:ascii="Calibri" w:hAnsi="Calibri" w:cs="Calibri"/>
                <w:b/>
                <w:sz w:val="24"/>
                <w:szCs w:val="24"/>
              </w:rPr>
            </w:pPr>
          </w:p>
          <w:p w14:paraId="655F470A" w14:textId="77777777" w:rsidR="00C96274" w:rsidRPr="00F33A7F" w:rsidRDefault="00890CA7" w:rsidP="00EE2FED">
            <w:pPr>
              <w:rPr>
                <w:rFonts w:ascii="Calibri" w:hAnsi="Calibri" w:cs="Calibri"/>
                <w:b/>
                <w:sz w:val="24"/>
                <w:szCs w:val="24"/>
              </w:rPr>
            </w:pPr>
            <w:r>
              <w:rPr>
                <w:rFonts w:ascii="Calibri" w:hAnsi="Calibri" w:cs="Calibri"/>
                <w:b/>
                <w:sz w:val="24"/>
                <w:szCs w:val="24"/>
              </w:rPr>
              <w:t>Committee</w:t>
            </w:r>
            <w:r w:rsidR="00274D73">
              <w:rPr>
                <w:rFonts w:ascii="Calibri" w:hAnsi="Calibri" w:cs="Calibri"/>
                <w:b/>
                <w:sz w:val="24"/>
                <w:szCs w:val="24"/>
              </w:rPr>
              <w:t xml:space="preserve"> </w:t>
            </w:r>
            <w:r w:rsidR="00C96274">
              <w:rPr>
                <w:rFonts w:ascii="Calibri" w:hAnsi="Calibri" w:cs="Calibri"/>
                <w:b/>
                <w:sz w:val="24"/>
                <w:szCs w:val="24"/>
              </w:rPr>
              <w:t>M</w:t>
            </w:r>
            <w:r w:rsidR="00C96274" w:rsidRPr="00F33A7F">
              <w:rPr>
                <w:rFonts w:ascii="Calibri" w:hAnsi="Calibri" w:cs="Calibri"/>
                <w:b/>
                <w:sz w:val="24"/>
                <w:szCs w:val="24"/>
              </w:rPr>
              <w:t>eeting</w:t>
            </w:r>
          </w:p>
        </w:tc>
        <w:tc>
          <w:tcPr>
            <w:tcW w:w="1949" w:type="dxa"/>
            <w:shd w:val="clear" w:color="auto" w:fill="auto"/>
          </w:tcPr>
          <w:p w14:paraId="1335479E" w14:textId="77777777" w:rsidR="00C96274" w:rsidRPr="00F33A7F" w:rsidRDefault="00C96274" w:rsidP="00EE2FED">
            <w:pPr>
              <w:rPr>
                <w:rFonts w:ascii="Calibri" w:hAnsi="Calibri" w:cs="Calibri"/>
                <w:b/>
                <w:sz w:val="24"/>
                <w:szCs w:val="24"/>
              </w:rPr>
            </w:pPr>
          </w:p>
          <w:p w14:paraId="7E092AF9" w14:textId="3E3709AA" w:rsidR="00C96274" w:rsidRPr="00F33A7F" w:rsidRDefault="003C27B7" w:rsidP="00A91759">
            <w:pPr>
              <w:rPr>
                <w:rFonts w:ascii="Calibri" w:hAnsi="Calibri" w:cs="Calibri"/>
                <w:b/>
                <w:sz w:val="24"/>
                <w:szCs w:val="24"/>
              </w:rPr>
            </w:pPr>
            <w:r>
              <w:rPr>
                <w:rFonts w:ascii="Calibri" w:hAnsi="Calibri" w:cs="Calibri"/>
                <w:b/>
                <w:sz w:val="24"/>
                <w:szCs w:val="24"/>
              </w:rPr>
              <w:t>21 July</w:t>
            </w:r>
            <w:r w:rsidR="00341A53">
              <w:rPr>
                <w:rFonts w:ascii="Calibri" w:hAnsi="Calibri" w:cs="Calibri"/>
                <w:b/>
                <w:sz w:val="24"/>
                <w:szCs w:val="24"/>
              </w:rPr>
              <w:t xml:space="preserve"> 2021</w:t>
            </w:r>
          </w:p>
        </w:tc>
      </w:tr>
      <w:tr w:rsidR="00C96274" w:rsidRPr="000273C9" w14:paraId="1C1F9C86" w14:textId="77777777" w:rsidTr="00A91759">
        <w:tc>
          <w:tcPr>
            <w:tcW w:w="5920" w:type="dxa"/>
            <w:vMerge/>
            <w:shd w:val="clear" w:color="auto" w:fill="auto"/>
          </w:tcPr>
          <w:p w14:paraId="013F6937" w14:textId="77777777" w:rsidR="00C96274" w:rsidRPr="000273C9" w:rsidRDefault="00C96274">
            <w:pPr>
              <w:rPr>
                <w:rFonts w:ascii="Helvetica 65 Medium" w:hAnsi="Helvetica 65 Medium"/>
                <w:sz w:val="24"/>
                <w:szCs w:val="24"/>
              </w:rPr>
            </w:pPr>
          </w:p>
        </w:tc>
        <w:tc>
          <w:tcPr>
            <w:tcW w:w="1985" w:type="dxa"/>
            <w:shd w:val="clear" w:color="auto" w:fill="auto"/>
          </w:tcPr>
          <w:p w14:paraId="78B41448" w14:textId="77777777" w:rsidR="00C96274" w:rsidRPr="00F33A7F" w:rsidRDefault="00C96274" w:rsidP="00EE2FED">
            <w:pPr>
              <w:spacing w:before="40"/>
              <w:rPr>
                <w:rFonts w:ascii="Calibri" w:hAnsi="Calibri" w:cs="Calibri"/>
                <w:b/>
                <w:sz w:val="24"/>
                <w:szCs w:val="24"/>
              </w:rPr>
            </w:pPr>
            <w:r>
              <w:rPr>
                <w:rFonts w:ascii="Calibri" w:hAnsi="Calibri" w:cs="Calibri"/>
                <w:b/>
                <w:sz w:val="24"/>
                <w:szCs w:val="24"/>
              </w:rPr>
              <w:t>Agenda I</w:t>
            </w:r>
            <w:r w:rsidRPr="00F33A7F">
              <w:rPr>
                <w:rFonts w:ascii="Calibri" w:hAnsi="Calibri" w:cs="Calibri"/>
                <w:b/>
                <w:sz w:val="24"/>
                <w:szCs w:val="24"/>
              </w:rPr>
              <w:t>tem</w:t>
            </w:r>
          </w:p>
        </w:tc>
        <w:tc>
          <w:tcPr>
            <w:tcW w:w="1949" w:type="dxa"/>
            <w:shd w:val="clear" w:color="auto" w:fill="auto"/>
          </w:tcPr>
          <w:p w14:paraId="2F7AFBEE" w14:textId="11EF0E97" w:rsidR="00C96274" w:rsidRPr="00F33A7F" w:rsidRDefault="003C27B7" w:rsidP="00EE2FED">
            <w:pPr>
              <w:spacing w:before="40"/>
              <w:rPr>
                <w:rFonts w:ascii="Calibri" w:hAnsi="Calibri" w:cs="Calibri"/>
                <w:b/>
                <w:sz w:val="24"/>
                <w:szCs w:val="24"/>
              </w:rPr>
            </w:pPr>
            <w:r>
              <w:rPr>
                <w:rFonts w:ascii="Calibri" w:hAnsi="Calibri" w:cs="Calibri"/>
                <w:b/>
                <w:sz w:val="24"/>
                <w:szCs w:val="24"/>
              </w:rPr>
              <w:t>10</w:t>
            </w:r>
          </w:p>
        </w:tc>
      </w:tr>
    </w:tbl>
    <w:p w14:paraId="03C489F7" w14:textId="77777777" w:rsidR="00833E88" w:rsidRPr="0001471C" w:rsidRDefault="00833E88">
      <w:pPr>
        <w:rPr>
          <w:rFonts w:ascii="Helvetica 65 Medium" w:hAnsi="Helvetica 65 Medium"/>
          <w:sz w:val="24"/>
          <w:szCs w:val="24"/>
        </w:rPr>
      </w:pPr>
    </w:p>
    <w:tbl>
      <w:tblPr>
        <w:tblW w:w="0" w:type="auto"/>
        <w:tblLook w:val="01E0" w:firstRow="1" w:lastRow="1" w:firstColumn="1" w:lastColumn="1" w:noHBand="0" w:noVBand="0"/>
      </w:tblPr>
      <w:tblGrid>
        <w:gridCol w:w="2839"/>
        <w:gridCol w:w="6799"/>
      </w:tblGrid>
      <w:tr w:rsidR="002818DB" w:rsidRPr="000273C9" w14:paraId="4079EB63" w14:textId="77777777" w:rsidTr="000273C9">
        <w:tc>
          <w:tcPr>
            <w:tcW w:w="2895" w:type="dxa"/>
            <w:shd w:val="clear" w:color="auto" w:fill="auto"/>
          </w:tcPr>
          <w:p w14:paraId="25ED6E92" w14:textId="77777777" w:rsidR="002818DB" w:rsidRPr="000273C9" w:rsidRDefault="002818DB" w:rsidP="00161481">
            <w:pPr>
              <w:spacing w:before="40" w:after="40"/>
              <w:rPr>
                <w:rFonts w:ascii="Calibri" w:hAnsi="Calibri" w:cs="Calibri"/>
                <w:b/>
                <w:sz w:val="24"/>
                <w:szCs w:val="24"/>
              </w:rPr>
            </w:pPr>
            <w:r w:rsidRPr="000273C9">
              <w:rPr>
                <w:rFonts w:ascii="Calibri" w:hAnsi="Calibri" w:cs="Calibri"/>
                <w:b/>
                <w:sz w:val="24"/>
                <w:szCs w:val="24"/>
              </w:rPr>
              <w:t>Subject</w:t>
            </w:r>
          </w:p>
        </w:tc>
        <w:tc>
          <w:tcPr>
            <w:tcW w:w="6959" w:type="dxa"/>
            <w:shd w:val="clear" w:color="auto" w:fill="auto"/>
          </w:tcPr>
          <w:p w14:paraId="20B7A677" w14:textId="77777777" w:rsidR="002818DB" w:rsidRPr="000273C9" w:rsidRDefault="00E75D72" w:rsidP="00745701">
            <w:pPr>
              <w:spacing w:before="40" w:after="40"/>
              <w:rPr>
                <w:rFonts w:ascii="Calibri" w:hAnsi="Calibri" w:cs="Calibri"/>
                <w:b/>
                <w:sz w:val="24"/>
                <w:szCs w:val="24"/>
              </w:rPr>
            </w:pPr>
            <w:r>
              <w:rPr>
                <w:rFonts w:ascii="Calibri" w:hAnsi="Calibri" w:cs="Calibri"/>
                <w:b/>
                <w:sz w:val="24"/>
                <w:szCs w:val="24"/>
              </w:rPr>
              <w:t xml:space="preserve">Draft </w:t>
            </w:r>
            <w:proofErr w:type="spellStart"/>
            <w:r w:rsidR="00341A53">
              <w:rPr>
                <w:rFonts w:ascii="Calibri" w:hAnsi="Calibri" w:cs="Calibri"/>
                <w:b/>
                <w:sz w:val="24"/>
                <w:szCs w:val="24"/>
              </w:rPr>
              <w:t>RaAC</w:t>
            </w:r>
            <w:proofErr w:type="spellEnd"/>
            <w:r>
              <w:rPr>
                <w:rFonts w:ascii="Calibri" w:hAnsi="Calibri" w:cs="Calibri"/>
                <w:b/>
                <w:sz w:val="24"/>
                <w:szCs w:val="24"/>
              </w:rPr>
              <w:t xml:space="preserve"> </w:t>
            </w:r>
            <w:r w:rsidR="00D51EDF">
              <w:rPr>
                <w:rFonts w:ascii="Calibri" w:hAnsi="Calibri" w:cs="Calibri"/>
                <w:b/>
                <w:sz w:val="24"/>
                <w:szCs w:val="24"/>
              </w:rPr>
              <w:t>Annual Report (</w:t>
            </w:r>
            <w:r w:rsidR="00890CA7">
              <w:rPr>
                <w:rFonts w:ascii="Calibri" w:hAnsi="Calibri" w:cs="Calibri"/>
                <w:b/>
                <w:sz w:val="24"/>
                <w:szCs w:val="24"/>
              </w:rPr>
              <w:t xml:space="preserve">1 </w:t>
            </w:r>
            <w:r w:rsidR="00341A53">
              <w:rPr>
                <w:rFonts w:ascii="Calibri" w:hAnsi="Calibri" w:cs="Calibri"/>
                <w:b/>
                <w:sz w:val="24"/>
                <w:szCs w:val="24"/>
              </w:rPr>
              <w:t>January 2020</w:t>
            </w:r>
            <w:r w:rsidR="00890CA7">
              <w:rPr>
                <w:rFonts w:ascii="Calibri" w:hAnsi="Calibri" w:cs="Calibri"/>
                <w:b/>
                <w:sz w:val="24"/>
                <w:szCs w:val="24"/>
              </w:rPr>
              <w:t xml:space="preserve"> to </w:t>
            </w:r>
            <w:r w:rsidR="00341A53">
              <w:rPr>
                <w:rFonts w:ascii="Calibri" w:hAnsi="Calibri" w:cs="Calibri"/>
                <w:b/>
                <w:sz w:val="24"/>
                <w:szCs w:val="24"/>
              </w:rPr>
              <w:t>31 May 2021</w:t>
            </w:r>
            <w:r w:rsidR="00A91759">
              <w:rPr>
                <w:rFonts w:ascii="Calibri" w:hAnsi="Calibri" w:cs="Calibri"/>
                <w:b/>
                <w:sz w:val="24"/>
                <w:szCs w:val="24"/>
              </w:rPr>
              <w:t xml:space="preserve">) </w:t>
            </w:r>
          </w:p>
        </w:tc>
      </w:tr>
      <w:tr w:rsidR="002818DB" w:rsidRPr="000273C9" w14:paraId="49C14D19" w14:textId="77777777" w:rsidTr="000273C9">
        <w:tc>
          <w:tcPr>
            <w:tcW w:w="2895" w:type="dxa"/>
            <w:shd w:val="clear" w:color="auto" w:fill="auto"/>
          </w:tcPr>
          <w:p w14:paraId="20480BBC" w14:textId="77777777" w:rsidR="002818DB" w:rsidRPr="000273C9" w:rsidRDefault="002818DB" w:rsidP="00161481">
            <w:pPr>
              <w:spacing w:before="40" w:after="40"/>
              <w:rPr>
                <w:rFonts w:ascii="Calibri" w:hAnsi="Calibri" w:cs="Calibri"/>
                <w:b/>
                <w:sz w:val="24"/>
                <w:szCs w:val="24"/>
              </w:rPr>
            </w:pPr>
            <w:r w:rsidRPr="000273C9">
              <w:rPr>
                <w:rFonts w:ascii="Calibri" w:hAnsi="Calibri" w:cs="Calibri"/>
                <w:b/>
                <w:sz w:val="24"/>
                <w:szCs w:val="24"/>
              </w:rPr>
              <w:t>Purpose</w:t>
            </w:r>
          </w:p>
        </w:tc>
        <w:tc>
          <w:tcPr>
            <w:tcW w:w="6959" w:type="dxa"/>
            <w:shd w:val="clear" w:color="auto" w:fill="auto"/>
          </w:tcPr>
          <w:p w14:paraId="06F6EBD0" w14:textId="450FFEF1" w:rsidR="002818DB" w:rsidRPr="000273C9" w:rsidRDefault="003C27B7" w:rsidP="00274D73">
            <w:pPr>
              <w:spacing w:before="40" w:after="40"/>
              <w:rPr>
                <w:rFonts w:ascii="Calibri" w:hAnsi="Calibri" w:cs="Calibri"/>
                <w:b/>
                <w:sz w:val="24"/>
                <w:szCs w:val="24"/>
              </w:rPr>
            </w:pPr>
            <w:r>
              <w:rPr>
                <w:rFonts w:ascii="Calibri" w:hAnsi="Calibri" w:cs="Calibri"/>
                <w:b/>
                <w:sz w:val="24"/>
                <w:szCs w:val="24"/>
              </w:rPr>
              <w:t>To Note</w:t>
            </w:r>
            <w:r w:rsidR="00F0487E">
              <w:rPr>
                <w:rFonts w:ascii="Calibri" w:hAnsi="Calibri" w:cs="Calibri"/>
                <w:b/>
                <w:sz w:val="24"/>
                <w:szCs w:val="24"/>
              </w:rPr>
              <w:t xml:space="preserve"> </w:t>
            </w:r>
          </w:p>
        </w:tc>
      </w:tr>
      <w:tr w:rsidR="002818DB" w:rsidRPr="000273C9" w14:paraId="70943A8D" w14:textId="77777777" w:rsidTr="000273C9">
        <w:tc>
          <w:tcPr>
            <w:tcW w:w="2895" w:type="dxa"/>
            <w:shd w:val="clear" w:color="auto" w:fill="auto"/>
          </w:tcPr>
          <w:p w14:paraId="17B79D50" w14:textId="77777777" w:rsidR="002818DB" w:rsidRPr="000273C9" w:rsidRDefault="002818DB" w:rsidP="00161481">
            <w:pPr>
              <w:spacing w:before="40" w:after="40"/>
              <w:rPr>
                <w:rFonts w:ascii="Calibri" w:hAnsi="Calibri" w:cs="Calibri"/>
                <w:b/>
                <w:sz w:val="24"/>
                <w:szCs w:val="24"/>
              </w:rPr>
            </w:pPr>
            <w:r w:rsidRPr="000273C9">
              <w:rPr>
                <w:rFonts w:ascii="Calibri" w:hAnsi="Calibri" w:cs="Calibri"/>
                <w:b/>
                <w:sz w:val="24"/>
                <w:szCs w:val="24"/>
              </w:rPr>
              <w:t>From</w:t>
            </w:r>
          </w:p>
        </w:tc>
        <w:tc>
          <w:tcPr>
            <w:tcW w:w="6959" w:type="dxa"/>
            <w:shd w:val="clear" w:color="auto" w:fill="auto"/>
          </w:tcPr>
          <w:p w14:paraId="7A1AC8BF" w14:textId="41BAB6C9" w:rsidR="002818DB" w:rsidRPr="001D75B7" w:rsidRDefault="00E8556A" w:rsidP="00161481">
            <w:pPr>
              <w:spacing w:before="40" w:after="40"/>
              <w:rPr>
                <w:rFonts w:ascii="Calibri" w:hAnsi="Calibri" w:cs="Calibri"/>
                <w:sz w:val="24"/>
                <w:szCs w:val="24"/>
              </w:rPr>
            </w:pPr>
            <w:r>
              <w:rPr>
                <w:rFonts w:ascii="Calibri" w:hAnsi="Calibri" w:cs="Calibri"/>
                <w:b/>
                <w:sz w:val="24"/>
                <w:szCs w:val="24"/>
              </w:rPr>
              <w:t xml:space="preserve">Chair of the </w:t>
            </w:r>
            <w:r w:rsidR="00341A53">
              <w:rPr>
                <w:rFonts w:ascii="Calibri" w:hAnsi="Calibri" w:cs="Calibri"/>
                <w:b/>
                <w:sz w:val="24"/>
                <w:szCs w:val="24"/>
              </w:rPr>
              <w:t>Remuneration and Appointments Committee</w:t>
            </w:r>
            <w:r w:rsidR="00A91759">
              <w:rPr>
                <w:rFonts w:ascii="Calibri" w:hAnsi="Calibri" w:cs="Calibri"/>
                <w:b/>
                <w:sz w:val="24"/>
                <w:szCs w:val="24"/>
              </w:rPr>
              <w:t xml:space="preserve"> </w:t>
            </w:r>
          </w:p>
        </w:tc>
      </w:tr>
    </w:tbl>
    <w:p w14:paraId="0197141C" w14:textId="77777777" w:rsidR="000273C9" w:rsidRPr="000273C9" w:rsidRDefault="000273C9" w:rsidP="00161481">
      <w:pPr>
        <w:spacing w:before="40" w:after="40"/>
        <w:rPr>
          <w:vanish/>
        </w:rPr>
      </w:pPr>
    </w:p>
    <w:tbl>
      <w:tblPr>
        <w:tblW w:w="9889" w:type="dxa"/>
        <w:tblBorders>
          <w:bottom w:val="single" w:sz="4" w:space="0" w:color="auto"/>
        </w:tblBorders>
        <w:tblLook w:val="01E0" w:firstRow="1" w:lastRow="1" w:firstColumn="1" w:lastColumn="1" w:noHBand="0" w:noVBand="0"/>
      </w:tblPr>
      <w:tblGrid>
        <w:gridCol w:w="9889"/>
      </w:tblGrid>
      <w:tr w:rsidR="00306131" w:rsidRPr="006B2353" w14:paraId="26E06008" w14:textId="77777777" w:rsidTr="00306131">
        <w:trPr>
          <w:trHeight w:val="547"/>
        </w:trPr>
        <w:tc>
          <w:tcPr>
            <w:tcW w:w="9889" w:type="dxa"/>
          </w:tcPr>
          <w:p w14:paraId="1BEB2468" w14:textId="0567C45F" w:rsidR="00306131" w:rsidRPr="00F4103E" w:rsidRDefault="00306131" w:rsidP="00D51EDF">
            <w:pPr>
              <w:spacing w:before="40" w:after="40"/>
              <w:rPr>
                <w:rFonts w:ascii="Calibri" w:hAnsi="Calibri" w:cs="Calibri"/>
                <w:b/>
                <w:color w:val="4F81BD"/>
                <w:sz w:val="24"/>
                <w:szCs w:val="24"/>
              </w:rPr>
            </w:pPr>
          </w:p>
        </w:tc>
      </w:tr>
    </w:tbl>
    <w:p w14:paraId="08D0E55E" w14:textId="77777777" w:rsidR="005D356A" w:rsidRPr="0001471C" w:rsidRDefault="005D356A" w:rsidP="00161481">
      <w:pPr>
        <w:spacing w:before="40" w:after="40"/>
        <w:ind w:left="567" w:hanging="567"/>
        <w:rPr>
          <w:rFonts w:ascii="Helvetica 65 Medium" w:hAnsi="Helvetica 65 Medium"/>
          <w:sz w:val="24"/>
          <w:szCs w:val="24"/>
        </w:rPr>
      </w:pPr>
    </w:p>
    <w:tbl>
      <w:tblPr>
        <w:tblW w:w="9889" w:type="dxa"/>
        <w:tblLayout w:type="fixed"/>
        <w:tblLook w:val="01E0" w:firstRow="1" w:lastRow="1" w:firstColumn="1" w:lastColumn="1" w:noHBand="0" w:noVBand="0"/>
      </w:tblPr>
      <w:tblGrid>
        <w:gridCol w:w="534"/>
        <w:gridCol w:w="567"/>
        <w:gridCol w:w="8788"/>
      </w:tblGrid>
      <w:tr w:rsidR="00F353A7" w:rsidRPr="000273C9" w14:paraId="4BC73765" w14:textId="77777777" w:rsidTr="001D0D64">
        <w:tc>
          <w:tcPr>
            <w:tcW w:w="534" w:type="dxa"/>
            <w:vMerge w:val="restart"/>
            <w:shd w:val="clear" w:color="auto" w:fill="auto"/>
          </w:tcPr>
          <w:p w14:paraId="50FC09CC" w14:textId="77777777" w:rsidR="00F353A7" w:rsidRPr="00F4103E" w:rsidRDefault="00F353A7" w:rsidP="00161481">
            <w:pPr>
              <w:spacing w:before="40" w:after="40" w:line="240" w:lineRule="atLeast"/>
              <w:rPr>
                <w:rFonts w:ascii="Calibri" w:hAnsi="Calibri" w:cs="Calibri"/>
                <w:b/>
                <w:color w:val="4F81BD"/>
                <w:sz w:val="24"/>
                <w:szCs w:val="24"/>
              </w:rPr>
            </w:pPr>
            <w:r w:rsidRPr="00F4103E">
              <w:rPr>
                <w:rFonts w:ascii="Calibri" w:hAnsi="Calibri" w:cs="Calibri"/>
                <w:b/>
                <w:color w:val="4F81BD"/>
                <w:sz w:val="24"/>
                <w:szCs w:val="24"/>
              </w:rPr>
              <w:t xml:space="preserve">1. </w:t>
            </w:r>
          </w:p>
        </w:tc>
        <w:tc>
          <w:tcPr>
            <w:tcW w:w="9355" w:type="dxa"/>
            <w:gridSpan w:val="2"/>
            <w:shd w:val="clear" w:color="auto" w:fill="auto"/>
          </w:tcPr>
          <w:p w14:paraId="7010B39B" w14:textId="77777777" w:rsidR="00F353A7" w:rsidRPr="00F4103E" w:rsidRDefault="00C96274" w:rsidP="00161481">
            <w:pPr>
              <w:spacing w:before="40" w:after="40" w:line="240" w:lineRule="atLeast"/>
              <w:rPr>
                <w:rFonts w:ascii="Calibri" w:hAnsi="Calibri" w:cs="Calibri"/>
                <w:b/>
                <w:color w:val="4F81BD"/>
                <w:sz w:val="24"/>
                <w:szCs w:val="24"/>
              </w:rPr>
            </w:pPr>
            <w:r>
              <w:rPr>
                <w:rFonts w:ascii="Calibri" w:hAnsi="Calibri" w:cs="Calibri"/>
                <w:b/>
                <w:color w:val="4F81BD"/>
                <w:sz w:val="24"/>
                <w:szCs w:val="24"/>
              </w:rPr>
              <w:t>Summary</w:t>
            </w:r>
          </w:p>
        </w:tc>
      </w:tr>
      <w:tr w:rsidR="00F353A7" w:rsidRPr="000273C9" w14:paraId="0ED6F91E" w14:textId="77777777" w:rsidTr="001D0D64">
        <w:tc>
          <w:tcPr>
            <w:tcW w:w="534" w:type="dxa"/>
            <w:vMerge/>
            <w:shd w:val="clear" w:color="auto" w:fill="auto"/>
          </w:tcPr>
          <w:p w14:paraId="34A501B9" w14:textId="77777777" w:rsidR="00F353A7" w:rsidRPr="000273C9" w:rsidRDefault="00F353A7" w:rsidP="00161481">
            <w:pPr>
              <w:spacing w:before="40" w:after="40" w:line="240" w:lineRule="atLeast"/>
              <w:rPr>
                <w:rFonts w:ascii="Helvetica 65 Medium" w:hAnsi="Helvetica 65 Medium"/>
                <w:sz w:val="24"/>
                <w:szCs w:val="24"/>
              </w:rPr>
            </w:pPr>
          </w:p>
        </w:tc>
        <w:tc>
          <w:tcPr>
            <w:tcW w:w="9355" w:type="dxa"/>
            <w:gridSpan w:val="2"/>
            <w:shd w:val="clear" w:color="auto" w:fill="auto"/>
          </w:tcPr>
          <w:p w14:paraId="393FDC7E" w14:textId="77777777" w:rsidR="00F97790" w:rsidRDefault="00F97790" w:rsidP="00D51EDF">
            <w:pPr>
              <w:spacing w:before="40" w:after="40" w:line="240" w:lineRule="atLeast"/>
              <w:rPr>
                <w:rFonts w:ascii="Calibri" w:hAnsi="Calibri" w:cs="Calibri"/>
                <w:sz w:val="24"/>
                <w:szCs w:val="24"/>
              </w:rPr>
            </w:pPr>
            <w:r>
              <w:rPr>
                <w:rFonts w:ascii="Calibri" w:hAnsi="Calibri" w:cs="Calibri"/>
                <w:sz w:val="24"/>
                <w:szCs w:val="24"/>
              </w:rPr>
              <w:t xml:space="preserve">The Committee </w:t>
            </w:r>
            <w:r w:rsidR="00B84C9D">
              <w:rPr>
                <w:rFonts w:ascii="Calibri" w:hAnsi="Calibri" w:cs="Calibri"/>
                <w:sz w:val="24"/>
                <w:szCs w:val="24"/>
              </w:rPr>
              <w:t xml:space="preserve">provides a written </w:t>
            </w:r>
            <w:r>
              <w:rPr>
                <w:rFonts w:ascii="Calibri" w:hAnsi="Calibri" w:cs="Calibri"/>
                <w:sz w:val="24"/>
                <w:szCs w:val="24"/>
              </w:rPr>
              <w:t>report to the Board annually</w:t>
            </w:r>
            <w:r w:rsidR="00B84C9D">
              <w:rPr>
                <w:rFonts w:ascii="Calibri" w:hAnsi="Calibri" w:cs="Calibri"/>
                <w:sz w:val="24"/>
                <w:szCs w:val="24"/>
              </w:rPr>
              <w:t xml:space="preserve"> on its activities.  </w:t>
            </w:r>
          </w:p>
          <w:p w14:paraId="61FA8FC9" w14:textId="69101189" w:rsidR="00B84C9D" w:rsidRDefault="00B84C9D" w:rsidP="00D51EDF">
            <w:pPr>
              <w:spacing w:before="40" w:after="40" w:line="240" w:lineRule="atLeast"/>
              <w:rPr>
                <w:rFonts w:ascii="Calibri" w:hAnsi="Calibri" w:cs="Calibri"/>
                <w:sz w:val="24"/>
                <w:szCs w:val="24"/>
              </w:rPr>
            </w:pPr>
          </w:p>
          <w:p w14:paraId="003510ED" w14:textId="7B17B7F2" w:rsidR="00A23E56" w:rsidRPr="000273C9" w:rsidRDefault="003C27B7" w:rsidP="003C27B7">
            <w:pPr>
              <w:spacing w:before="40" w:after="40" w:line="240" w:lineRule="atLeast"/>
              <w:rPr>
                <w:rFonts w:ascii="Calibri" w:hAnsi="Calibri" w:cs="Calibri"/>
                <w:sz w:val="24"/>
                <w:szCs w:val="24"/>
              </w:rPr>
            </w:pPr>
            <w:r>
              <w:rPr>
                <w:rFonts w:ascii="Calibri" w:hAnsi="Calibri" w:cs="Calibri"/>
                <w:sz w:val="24"/>
                <w:szCs w:val="24"/>
              </w:rPr>
              <w:t xml:space="preserve">The Board are asked to note the Remuneration and Appointment Committee’s Annual Report covering the period 1 January 2020 to 31 May 2021.  The period of the report is to ensure all of the additional work of the committee is captured and going forward will cover a </w:t>
            </w:r>
            <w:proofErr w:type="gramStart"/>
            <w:r>
              <w:rPr>
                <w:rFonts w:ascii="Calibri" w:hAnsi="Calibri" w:cs="Calibri"/>
                <w:sz w:val="24"/>
                <w:szCs w:val="24"/>
              </w:rPr>
              <w:t>12 month</w:t>
            </w:r>
            <w:proofErr w:type="gramEnd"/>
            <w:r>
              <w:rPr>
                <w:rFonts w:ascii="Calibri" w:hAnsi="Calibri" w:cs="Calibri"/>
                <w:sz w:val="24"/>
                <w:szCs w:val="24"/>
              </w:rPr>
              <w:t xml:space="preserve"> period.</w:t>
            </w:r>
          </w:p>
        </w:tc>
      </w:tr>
      <w:tr w:rsidR="000015F4" w:rsidRPr="000273C9" w14:paraId="4612F18F" w14:textId="77777777" w:rsidTr="001D0D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vMerge/>
            <w:tcBorders>
              <w:top w:val="nil"/>
              <w:left w:val="nil"/>
              <w:bottom w:val="nil"/>
              <w:right w:val="nil"/>
            </w:tcBorders>
            <w:shd w:val="clear" w:color="auto" w:fill="auto"/>
          </w:tcPr>
          <w:p w14:paraId="681F9D09" w14:textId="77777777" w:rsidR="000015F4" w:rsidRPr="000273C9" w:rsidRDefault="000015F4" w:rsidP="00161481">
            <w:pPr>
              <w:spacing w:before="40" w:after="40" w:line="240" w:lineRule="atLeast"/>
              <w:rPr>
                <w:rFonts w:ascii="Helvetica 65 Medium" w:hAnsi="Helvetica 65 Medium"/>
                <w:sz w:val="24"/>
                <w:szCs w:val="24"/>
              </w:rPr>
            </w:pPr>
          </w:p>
        </w:tc>
        <w:tc>
          <w:tcPr>
            <w:tcW w:w="9355" w:type="dxa"/>
            <w:gridSpan w:val="2"/>
            <w:tcBorders>
              <w:top w:val="nil"/>
              <w:left w:val="nil"/>
              <w:bottom w:val="nil"/>
              <w:right w:val="nil"/>
            </w:tcBorders>
            <w:shd w:val="clear" w:color="auto" w:fill="auto"/>
          </w:tcPr>
          <w:p w14:paraId="1FD83FC3" w14:textId="77777777" w:rsidR="00871226" w:rsidRPr="000273C9" w:rsidRDefault="00871226" w:rsidP="009402F1">
            <w:pPr>
              <w:spacing w:before="40" w:after="40" w:line="240" w:lineRule="atLeast"/>
              <w:rPr>
                <w:rFonts w:ascii="Calibri" w:hAnsi="Calibri" w:cs="Calibri"/>
                <w:sz w:val="24"/>
                <w:szCs w:val="24"/>
              </w:rPr>
            </w:pPr>
          </w:p>
        </w:tc>
      </w:tr>
      <w:tr w:rsidR="00CD7807" w:rsidRPr="000273C9" w14:paraId="7580BCD8" w14:textId="77777777" w:rsidTr="001D0D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vMerge w:val="restart"/>
            <w:tcBorders>
              <w:top w:val="nil"/>
              <w:left w:val="nil"/>
              <w:bottom w:val="nil"/>
              <w:right w:val="nil"/>
            </w:tcBorders>
            <w:shd w:val="clear" w:color="auto" w:fill="auto"/>
          </w:tcPr>
          <w:p w14:paraId="5FC9CCFE" w14:textId="77777777" w:rsidR="00CD7807" w:rsidRPr="00F4103E" w:rsidRDefault="00C96274" w:rsidP="00161481">
            <w:pPr>
              <w:spacing w:before="40" w:after="40" w:line="240" w:lineRule="atLeast"/>
              <w:rPr>
                <w:rFonts w:ascii="Calibri" w:hAnsi="Calibri" w:cs="Calibri"/>
                <w:b/>
                <w:color w:val="4F81BD"/>
                <w:sz w:val="24"/>
                <w:szCs w:val="24"/>
              </w:rPr>
            </w:pPr>
            <w:r>
              <w:rPr>
                <w:rFonts w:ascii="Calibri" w:hAnsi="Calibri" w:cs="Calibri"/>
                <w:b/>
                <w:color w:val="4F81BD"/>
                <w:sz w:val="24"/>
                <w:szCs w:val="24"/>
              </w:rPr>
              <w:t>2</w:t>
            </w:r>
            <w:r w:rsidR="00CD7807" w:rsidRPr="00F4103E">
              <w:rPr>
                <w:rFonts w:ascii="Calibri" w:hAnsi="Calibri" w:cs="Calibri"/>
                <w:b/>
                <w:color w:val="4F81BD"/>
                <w:sz w:val="24"/>
                <w:szCs w:val="24"/>
              </w:rPr>
              <w:t xml:space="preserve">. </w:t>
            </w:r>
          </w:p>
        </w:tc>
        <w:tc>
          <w:tcPr>
            <w:tcW w:w="9355" w:type="dxa"/>
            <w:gridSpan w:val="2"/>
            <w:tcBorders>
              <w:top w:val="nil"/>
              <w:left w:val="nil"/>
              <w:bottom w:val="nil"/>
              <w:right w:val="nil"/>
            </w:tcBorders>
            <w:shd w:val="clear" w:color="auto" w:fill="auto"/>
          </w:tcPr>
          <w:p w14:paraId="5BCA2881" w14:textId="77777777" w:rsidR="00CD7807" w:rsidRPr="00F4103E" w:rsidRDefault="00890CA7" w:rsidP="00F13D25">
            <w:pPr>
              <w:spacing w:before="40" w:after="40" w:line="240" w:lineRule="atLeast"/>
              <w:rPr>
                <w:rFonts w:ascii="Calibri" w:hAnsi="Calibri" w:cs="Calibri"/>
                <w:b/>
                <w:color w:val="4F81BD"/>
                <w:sz w:val="24"/>
                <w:szCs w:val="24"/>
              </w:rPr>
            </w:pPr>
            <w:r>
              <w:rPr>
                <w:rFonts w:ascii="Calibri" w:hAnsi="Calibri" w:cs="Calibri"/>
                <w:b/>
                <w:color w:val="4F81BD"/>
                <w:sz w:val="24"/>
                <w:szCs w:val="24"/>
              </w:rPr>
              <w:t>Terms of Reference</w:t>
            </w:r>
          </w:p>
        </w:tc>
      </w:tr>
      <w:tr w:rsidR="00CD7807" w:rsidRPr="000273C9" w14:paraId="07F0DFEA" w14:textId="77777777" w:rsidTr="001D0D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vMerge/>
            <w:tcBorders>
              <w:top w:val="nil"/>
              <w:left w:val="nil"/>
              <w:bottom w:val="nil"/>
              <w:right w:val="nil"/>
            </w:tcBorders>
            <w:shd w:val="clear" w:color="auto" w:fill="auto"/>
          </w:tcPr>
          <w:p w14:paraId="66D99E75" w14:textId="77777777" w:rsidR="00CD7807" w:rsidRPr="000273C9" w:rsidRDefault="00CD7807" w:rsidP="00161481">
            <w:pPr>
              <w:spacing w:before="40" w:after="40" w:line="240" w:lineRule="atLeast"/>
              <w:rPr>
                <w:rFonts w:ascii="Helvetica 65 Medium" w:hAnsi="Helvetica 65 Medium"/>
                <w:sz w:val="24"/>
                <w:szCs w:val="24"/>
              </w:rPr>
            </w:pPr>
          </w:p>
        </w:tc>
        <w:tc>
          <w:tcPr>
            <w:tcW w:w="9355" w:type="dxa"/>
            <w:gridSpan w:val="2"/>
            <w:tcBorders>
              <w:top w:val="nil"/>
              <w:left w:val="nil"/>
              <w:bottom w:val="nil"/>
              <w:right w:val="nil"/>
            </w:tcBorders>
            <w:shd w:val="clear" w:color="auto" w:fill="auto"/>
          </w:tcPr>
          <w:p w14:paraId="45A0CF3C" w14:textId="77777777" w:rsidR="00341A53" w:rsidRPr="00341A53" w:rsidRDefault="00341A53" w:rsidP="00341A53">
            <w:pPr>
              <w:ind w:left="28" w:right="-7"/>
              <w:rPr>
                <w:rFonts w:ascii="Calibri" w:hAnsi="Calibri"/>
                <w:sz w:val="24"/>
                <w:szCs w:val="24"/>
              </w:rPr>
            </w:pPr>
            <w:r w:rsidRPr="00341A53">
              <w:rPr>
                <w:rFonts w:ascii="Calibri" w:hAnsi="Calibri"/>
                <w:sz w:val="24"/>
                <w:szCs w:val="24"/>
              </w:rPr>
              <w:t xml:space="preserve">The purpose of the Committee is to consider, and provide, advice and recommendations to the Board on strategic human resource issues, including appointment, performance, remuneration and removal of the Chief Executive; all non-executives (including statutory committee members), and to approve the remuneration and reward package offered to staff. </w:t>
            </w:r>
          </w:p>
          <w:p w14:paraId="453B1DBE" w14:textId="77777777" w:rsidR="00890CA7" w:rsidRPr="000273C9" w:rsidRDefault="00890CA7" w:rsidP="00F13D25">
            <w:pPr>
              <w:spacing w:before="40" w:after="40" w:line="240" w:lineRule="atLeast"/>
              <w:rPr>
                <w:rFonts w:ascii="Calibri" w:hAnsi="Calibri" w:cs="Calibri"/>
                <w:sz w:val="24"/>
                <w:szCs w:val="24"/>
              </w:rPr>
            </w:pPr>
          </w:p>
        </w:tc>
      </w:tr>
      <w:tr w:rsidR="00871226" w:rsidRPr="000273C9" w14:paraId="6EE619DD" w14:textId="77777777" w:rsidTr="001D0D64">
        <w:tc>
          <w:tcPr>
            <w:tcW w:w="534" w:type="dxa"/>
            <w:vMerge w:val="restart"/>
            <w:shd w:val="clear" w:color="auto" w:fill="auto"/>
          </w:tcPr>
          <w:p w14:paraId="3ECAB7F9" w14:textId="77777777" w:rsidR="00871226" w:rsidRPr="00F4103E" w:rsidRDefault="00C96274" w:rsidP="00161481">
            <w:pPr>
              <w:spacing w:before="40" w:after="40" w:line="240" w:lineRule="atLeast"/>
              <w:rPr>
                <w:rFonts w:ascii="Calibri" w:hAnsi="Calibri" w:cs="Calibri"/>
                <w:b/>
                <w:color w:val="4F81BD"/>
                <w:sz w:val="24"/>
                <w:szCs w:val="24"/>
              </w:rPr>
            </w:pPr>
            <w:r>
              <w:rPr>
                <w:rFonts w:ascii="Calibri" w:hAnsi="Calibri" w:cs="Calibri"/>
                <w:b/>
                <w:color w:val="4F81BD"/>
                <w:sz w:val="24"/>
                <w:szCs w:val="24"/>
              </w:rPr>
              <w:t>3</w:t>
            </w:r>
            <w:r w:rsidR="00871226" w:rsidRPr="00F4103E">
              <w:rPr>
                <w:rFonts w:ascii="Calibri" w:hAnsi="Calibri" w:cs="Calibri"/>
                <w:b/>
                <w:color w:val="4F81BD"/>
                <w:sz w:val="24"/>
                <w:szCs w:val="24"/>
              </w:rPr>
              <w:t xml:space="preserve">. </w:t>
            </w:r>
          </w:p>
        </w:tc>
        <w:tc>
          <w:tcPr>
            <w:tcW w:w="9355" w:type="dxa"/>
            <w:gridSpan w:val="2"/>
            <w:shd w:val="clear" w:color="auto" w:fill="auto"/>
          </w:tcPr>
          <w:p w14:paraId="0200AC7E" w14:textId="419E8FB8" w:rsidR="00871226" w:rsidRPr="00F4103E" w:rsidRDefault="003C27B7" w:rsidP="00161481">
            <w:pPr>
              <w:spacing w:before="40" w:after="40" w:line="240" w:lineRule="atLeast"/>
              <w:ind w:left="567" w:hanging="567"/>
              <w:rPr>
                <w:rFonts w:ascii="Calibri" w:hAnsi="Calibri" w:cs="Calibri"/>
                <w:b/>
                <w:color w:val="4F81BD"/>
                <w:sz w:val="24"/>
                <w:szCs w:val="24"/>
              </w:rPr>
            </w:pPr>
            <w:r>
              <w:rPr>
                <w:rFonts w:ascii="Calibri" w:hAnsi="Calibri" w:cs="Calibri"/>
                <w:b/>
                <w:color w:val="4F81BD"/>
                <w:sz w:val="24"/>
                <w:szCs w:val="24"/>
              </w:rPr>
              <w:t>Open</w:t>
            </w:r>
          </w:p>
        </w:tc>
      </w:tr>
      <w:tr w:rsidR="00871226" w:rsidRPr="000273C9" w14:paraId="74A01176" w14:textId="77777777" w:rsidTr="001D0D64">
        <w:tc>
          <w:tcPr>
            <w:tcW w:w="534" w:type="dxa"/>
            <w:vMerge/>
            <w:shd w:val="clear" w:color="auto" w:fill="auto"/>
          </w:tcPr>
          <w:p w14:paraId="0C7B270E" w14:textId="77777777" w:rsidR="00871226" w:rsidRPr="000273C9" w:rsidRDefault="00871226" w:rsidP="00161481">
            <w:pPr>
              <w:spacing w:before="40" w:after="40" w:line="240" w:lineRule="atLeast"/>
              <w:rPr>
                <w:rFonts w:ascii="Helvetica 65 Medium" w:hAnsi="Helvetica 65 Medium"/>
                <w:sz w:val="24"/>
                <w:szCs w:val="24"/>
              </w:rPr>
            </w:pPr>
          </w:p>
        </w:tc>
        <w:tc>
          <w:tcPr>
            <w:tcW w:w="9355" w:type="dxa"/>
            <w:gridSpan w:val="2"/>
            <w:shd w:val="clear" w:color="auto" w:fill="auto"/>
          </w:tcPr>
          <w:p w14:paraId="6B96008D" w14:textId="57F8CA6E" w:rsidR="001D75B7" w:rsidRPr="000273C9" w:rsidRDefault="001D75B7" w:rsidP="00B11AA3">
            <w:pPr>
              <w:spacing w:before="40" w:after="40" w:line="240" w:lineRule="atLeast"/>
              <w:rPr>
                <w:rFonts w:ascii="Calibri" w:hAnsi="Calibri" w:cs="Calibri"/>
                <w:sz w:val="24"/>
                <w:szCs w:val="24"/>
              </w:rPr>
            </w:pPr>
          </w:p>
        </w:tc>
      </w:tr>
      <w:tr w:rsidR="00F353A7" w:rsidRPr="000273C9" w14:paraId="25B2D6D1" w14:textId="77777777" w:rsidTr="001D0D64">
        <w:tc>
          <w:tcPr>
            <w:tcW w:w="534" w:type="dxa"/>
            <w:vMerge w:val="restart"/>
            <w:shd w:val="clear" w:color="auto" w:fill="auto"/>
          </w:tcPr>
          <w:p w14:paraId="114FA80F" w14:textId="77777777" w:rsidR="00F353A7" w:rsidRDefault="00C96274" w:rsidP="00161481">
            <w:pPr>
              <w:spacing w:before="40" w:after="40" w:line="240" w:lineRule="atLeast"/>
              <w:rPr>
                <w:rFonts w:ascii="Calibri" w:hAnsi="Calibri" w:cs="Calibri"/>
                <w:b/>
                <w:color w:val="4F81BD"/>
                <w:sz w:val="24"/>
                <w:szCs w:val="24"/>
              </w:rPr>
            </w:pPr>
            <w:r>
              <w:rPr>
                <w:rFonts w:ascii="Calibri" w:hAnsi="Calibri" w:cs="Calibri"/>
                <w:b/>
                <w:color w:val="4F81BD"/>
                <w:sz w:val="24"/>
                <w:szCs w:val="24"/>
              </w:rPr>
              <w:t>4</w:t>
            </w:r>
            <w:r w:rsidR="00F353A7" w:rsidRPr="00F4103E">
              <w:rPr>
                <w:rFonts w:ascii="Calibri" w:hAnsi="Calibri" w:cs="Calibri"/>
                <w:b/>
                <w:color w:val="4F81BD"/>
                <w:sz w:val="24"/>
                <w:szCs w:val="24"/>
              </w:rPr>
              <w:t xml:space="preserve">. </w:t>
            </w:r>
          </w:p>
          <w:p w14:paraId="37EEF335" w14:textId="77777777" w:rsidR="00AC1ECA" w:rsidRDefault="00AC1ECA" w:rsidP="00161481">
            <w:pPr>
              <w:spacing w:before="40" w:after="40" w:line="240" w:lineRule="atLeast"/>
              <w:rPr>
                <w:rFonts w:ascii="Calibri" w:hAnsi="Calibri" w:cs="Calibri"/>
                <w:b/>
                <w:color w:val="4F81BD"/>
                <w:sz w:val="24"/>
                <w:szCs w:val="24"/>
              </w:rPr>
            </w:pPr>
          </w:p>
          <w:p w14:paraId="64F51517" w14:textId="77777777" w:rsidR="00AC1ECA" w:rsidRDefault="00AC1ECA" w:rsidP="00161481">
            <w:pPr>
              <w:spacing w:before="40" w:after="40" w:line="240" w:lineRule="atLeast"/>
              <w:rPr>
                <w:rFonts w:ascii="Calibri" w:hAnsi="Calibri" w:cs="Calibri"/>
                <w:b/>
                <w:color w:val="4F81BD"/>
                <w:sz w:val="24"/>
                <w:szCs w:val="24"/>
              </w:rPr>
            </w:pPr>
          </w:p>
          <w:p w14:paraId="2936EF38" w14:textId="77777777" w:rsidR="00AC1ECA" w:rsidRDefault="00AC1ECA" w:rsidP="00161481">
            <w:pPr>
              <w:spacing w:before="40" w:after="40" w:line="240" w:lineRule="atLeast"/>
              <w:rPr>
                <w:rFonts w:ascii="Calibri" w:hAnsi="Calibri" w:cs="Calibri"/>
                <w:b/>
                <w:color w:val="4F81BD"/>
                <w:sz w:val="24"/>
                <w:szCs w:val="24"/>
              </w:rPr>
            </w:pPr>
          </w:p>
          <w:p w14:paraId="3B840558" w14:textId="77777777" w:rsidR="00AC1ECA" w:rsidRDefault="00AC1ECA" w:rsidP="00161481">
            <w:pPr>
              <w:spacing w:before="40" w:after="40" w:line="240" w:lineRule="atLeast"/>
              <w:rPr>
                <w:rFonts w:ascii="Calibri" w:hAnsi="Calibri" w:cs="Calibri"/>
                <w:b/>
                <w:color w:val="4F81BD"/>
                <w:sz w:val="24"/>
                <w:szCs w:val="24"/>
              </w:rPr>
            </w:pPr>
          </w:p>
          <w:p w14:paraId="52CDDE2E" w14:textId="77777777" w:rsidR="00AC1ECA" w:rsidRDefault="00AC1ECA" w:rsidP="00161481">
            <w:pPr>
              <w:spacing w:before="40" w:after="40" w:line="240" w:lineRule="atLeast"/>
              <w:rPr>
                <w:rFonts w:ascii="Calibri" w:hAnsi="Calibri" w:cs="Calibri"/>
                <w:b/>
                <w:color w:val="4F81BD"/>
                <w:sz w:val="24"/>
                <w:szCs w:val="24"/>
              </w:rPr>
            </w:pPr>
          </w:p>
          <w:p w14:paraId="3ED1630D" w14:textId="77777777" w:rsidR="00AC1ECA" w:rsidRDefault="00AC1ECA" w:rsidP="00161481">
            <w:pPr>
              <w:spacing w:before="40" w:after="40" w:line="240" w:lineRule="atLeast"/>
              <w:rPr>
                <w:rFonts w:ascii="Calibri" w:hAnsi="Calibri" w:cs="Calibri"/>
                <w:b/>
                <w:color w:val="4F81BD"/>
                <w:sz w:val="24"/>
                <w:szCs w:val="24"/>
              </w:rPr>
            </w:pPr>
          </w:p>
          <w:p w14:paraId="01D1C97C" w14:textId="77777777" w:rsidR="00AC1ECA" w:rsidRDefault="00AC1ECA" w:rsidP="00161481">
            <w:pPr>
              <w:spacing w:before="40" w:after="40" w:line="240" w:lineRule="atLeast"/>
              <w:rPr>
                <w:rFonts w:ascii="Calibri" w:hAnsi="Calibri" w:cs="Calibri"/>
                <w:b/>
                <w:color w:val="4F81BD"/>
                <w:sz w:val="24"/>
                <w:szCs w:val="24"/>
              </w:rPr>
            </w:pPr>
          </w:p>
          <w:p w14:paraId="682B52C4" w14:textId="77777777" w:rsidR="00AC1ECA" w:rsidRDefault="00AC1ECA" w:rsidP="00161481">
            <w:pPr>
              <w:spacing w:before="40" w:after="40" w:line="240" w:lineRule="atLeast"/>
              <w:rPr>
                <w:rFonts w:ascii="Calibri" w:hAnsi="Calibri" w:cs="Calibri"/>
                <w:b/>
                <w:color w:val="4F81BD"/>
                <w:sz w:val="24"/>
                <w:szCs w:val="24"/>
              </w:rPr>
            </w:pPr>
          </w:p>
          <w:p w14:paraId="6113164D" w14:textId="77777777" w:rsidR="00AC1ECA" w:rsidRDefault="00AC1ECA" w:rsidP="00161481">
            <w:pPr>
              <w:spacing w:before="40" w:after="40" w:line="240" w:lineRule="atLeast"/>
              <w:rPr>
                <w:rFonts w:ascii="Calibri" w:hAnsi="Calibri" w:cs="Calibri"/>
                <w:b/>
                <w:color w:val="4F81BD"/>
                <w:sz w:val="24"/>
                <w:szCs w:val="24"/>
              </w:rPr>
            </w:pPr>
          </w:p>
          <w:p w14:paraId="344B646F" w14:textId="77777777" w:rsidR="00AC1ECA" w:rsidRDefault="00AC1ECA" w:rsidP="00161481">
            <w:pPr>
              <w:spacing w:before="40" w:after="40" w:line="240" w:lineRule="atLeast"/>
              <w:rPr>
                <w:rFonts w:ascii="Calibri" w:hAnsi="Calibri" w:cs="Calibri"/>
                <w:b/>
                <w:color w:val="4F81BD"/>
                <w:sz w:val="24"/>
                <w:szCs w:val="24"/>
              </w:rPr>
            </w:pPr>
          </w:p>
          <w:p w14:paraId="4B58D5B5" w14:textId="77777777" w:rsidR="00AC1ECA" w:rsidRDefault="00AC1ECA" w:rsidP="00161481">
            <w:pPr>
              <w:spacing w:before="40" w:after="40" w:line="240" w:lineRule="atLeast"/>
              <w:rPr>
                <w:rFonts w:ascii="Calibri" w:hAnsi="Calibri" w:cs="Calibri"/>
                <w:b/>
                <w:color w:val="4F81BD"/>
                <w:sz w:val="24"/>
                <w:szCs w:val="24"/>
              </w:rPr>
            </w:pPr>
          </w:p>
          <w:p w14:paraId="2A0B635C" w14:textId="77777777" w:rsidR="00AC1ECA" w:rsidRDefault="00AC1ECA" w:rsidP="00161481">
            <w:pPr>
              <w:spacing w:before="40" w:after="40" w:line="240" w:lineRule="atLeast"/>
              <w:rPr>
                <w:rFonts w:ascii="Calibri" w:hAnsi="Calibri" w:cs="Calibri"/>
                <w:b/>
                <w:color w:val="4F81BD"/>
                <w:sz w:val="24"/>
                <w:szCs w:val="24"/>
              </w:rPr>
            </w:pPr>
          </w:p>
          <w:p w14:paraId="11EF9BC3" w14:textId="77777777" w:rsidR="00AC1ECA" w:rsidRDefault="00AC1ECA" w:rsidP="00161481">
            <w:pPr>
              <w:spacing w:before="40" w:after="40" w:line="240" w:lineRule="atLeast"/>
              <w:rPr>
                <w:rFonts w:ascii="Calibri" w:hAnsi="Calibri" w:cs="Calibri"/>
                <w:b/>
                <w:color w:val="4F81BD"/>
                <w:sz w:val="24"/>
                <w:szCs w:val="24"/>
              </w:rPr>
            </w:pPr>
          </w:p>
          <w:p w14:paraId="30374B6D" w14:textId="77777777" w:rsidR="00AC1ECA" w:rsidRDefault="00AC1ECA" w:rsidP="00161481">
            <w:pPr>
              <w:spacing w:before="40" w:after="40" w:line="240" w:lineRule="atLeast"/>
              <w:rPr>
                <w:rFonts w:ascii="Calibri" w:hAnsi="Calibri" w:cs="Calibri"/>
                <w:b/>
                <w:color w:val="4F81BD"/>
                <w:sz w:val="24"/>
                <w:szCs w:val="24"/>
              </w:rPr>
            </w:pPr>
          </w:p>
          <w:p w14:paraId="5455684B" w14:textId="77777777" w:rsidR="00AC1ECA" w:rsidRDefault="00AC1ECA" w:rsidP="00161481">
            <w:pPr>
              <w:spacing w:before="40" w:after="40" w:line="240" w:lineRule="atLeast"/>
              <w:rPr>
                <w:rFonts w:ascii="Calibri" w:hAnsi="Calibri" w:cs="Calibri"/>
                <w:b/>
                <w:color w:val="4F81BD"/>
                <w:sz w:val="24"/>
                <w:szCs w:val="24"/>
              </w:rPr>
            </w:pPr>
          </w:p>
          <w:p w14:paraId="6B8EDAF6" w14:textId="77777777" w:rsidR="00AC1ECA" w:rsidRDefault="00AC1ECA" w:rsidP="00161481">
            <w:pPr>
              <w:spacing w:before="40" w:after="40" w:line="240" w:lineRule="atLeast"/>
              <w:rPr>
                <w:rFonts w:ascii="Calibri" w:hAnsi="Calibri" w:cs="Calibri"/>
                <w:b/>
                <w:color w:val="4F81BD"/>
                <w:sz w:val="24"/>
                <w:szCs w:val="24"/>
              </w:rPr>
            </w:pPr>
          </w:p>
          <w:p w14:paraId="627307C6" w14:textId="77777777" w:rsidR="00AC1ECA" w:rsidRDefault="00AC1ECA" w:rsidP="00161481">
            <w:pPr>
              <w:spacing w:before="40" w:after="40" w:line="240" w:lineRule="atLeast"/>
              <w:rPr>
                <w:rFonts w:ascii="Calibri" w:hAnsi="Calibri" w:cs="Calibri"/>
                <w:b/>
                <w:color w:val="4F81BD"/>
                <w:sz w:val="24"/>
                <w:szCs w:val="24"/>
              </w:rPr>
            </w:pPr>
          </w:p>
          <w:p w14:paraId="71FE333C" w14:textId="77777777" w:rsidR="00AC1ECA" w:rsidRDefault="00AC1ECA" w:rsidP="00161481">
            <w:pPr>
              <w:spacing w:before="40" w:after="40" w:line="240" w:lineRule="atLeast"/>
              <w:rPr>
                <w:rFonts w:ascii="Calibri" w:hAnsi="Calibri" w:cs="Calibri"/>
                <w:b/>
                <w:color w:val="4F81BD"/>
                <w:sz w:val="24"/>
                <w:szCs w:val="24"/>
              </w:rPr>
            </w:pPr>
          </w:p>
          <w:p w14:paraId="40006BC0" w14:textId="77777777" w:rsidR="00AC1ECA" w:rsidRDefault="00AC1ECA" w:rsidP="00161481">
            <w:pPr>
              <w:spacing w:before="40" w:after="40" w:line="240" w:lineRule="atLeast"/>
              <w:rPr>
                <w:rFonts w:ascii="Calibri" w:hAnsi="Calibri" w:cs="Calibri"/>
                <w:b/>
                <w:color w:val="4F81BD"/>
                <w:sz w:val="24"/>
                <w:szCs w:val="24"/>
              </w:rPr>
            </w:pPr>
          </w:p>
          <w:p w14:paraId="6B326E67" w14:textId="77777777" w:rsidR="00AC1ECA" w:rsidRDefault="00AC1ECA" w:rsidP="00161481">
            <w:pPr>
              <w:spacing w:before="40" w:after="40" w:line="240" w:lineRule="atLeast"/>
              <w:rPr>
                <w:rFonts w:ascii="Calibri" w:hAnsi="Calibri" w:cs="Calibri"/>
                <w:b/>
                <w:color w:val="4F81BD"/>
                <w:sz w:val="24"/>
                <w:szCs w:val="24"/>
              </w:rPr>
            </w:pPr>
          </w:p>
          <w:p w14:paraId="08C25477" w14:textId="77777777" w:rsidR="00AC1ECA" w:rsidRDefault="00AC1ECA" w:rsidP="00161481">
            <w:pPr>
              <w:spacing w:before="40" w:after="40" w:line="240" w:lineRule="atLeast"/>
              <w:rPr>
                <w:rFonts w:ascii="Calibri" w:hAnsi="Calibri" w:cs="Calibri"/>
                <w:b/>
                <w:color w:val="4F81BD"/>
                <w:sz w:val="24"/>
                <w:szCs w:val="24"/>
              </w:rPr>
            </w:pPr>
          </w:p>
          <w:p w14:paraId="222F1434" w14:textId="77777777" w:rsidR="00AC1ECA" w:rsidRDefault="00AC1ECA" w:rsidP="00161481">
            <w:pPr>
              <w:spacing w:before="40" w:after="40" w:line="240" w:lineRule="atLeast"/>
              <w:rPr>
                <w:rFonts w:ascii="Calibri" w:hAnsi="Calibri" w:cs="Calibri"/>
                <w:b/>
                <w:color w:val="4F81BD"/>
                <w:sz w:val="24"/>
                <w:szCs w:val="24"/>
              </w:rPr>
            </w:pPr>
          </w:p>
          <w:p w14:paraId="0326C07F" w14:textId="77777777" w:rsidR="00AC1ECA" w:rsidRDefault="00AC1ECA" w:rsidP="00161481">
            <w:pPr>
              <w:spacing w:before="40" w:after="40" w:line="240" w:lineRule="atLeast"/>
              <w:rPr>
                <w:rFonts w:ascii="Calibri" w:hAnsi="Calibri" w:cs="Calibri"/>
                <w:b/>
                <w:color w:val="4F81BD"/>
                <w:sz w:val="24"/>
                <w:szCs w:val="24"/>
              </w:rPr>
            </w:pPr>
          </w:p>
          <w:p w14:paraId="00B3850F" w14:textId="77777777" w:rsidR="00AC1ECA" w:rsidRDefault="00AC1ECA" w:rsidP="00161481">
            <w:pPr>
              <w:spacing w:before="40" w:after="40" w:line="240" w:lineRule="atLeast"/>
              <w:rPr>
                <w:rFonts w:ascii="Calibri" w:hAnsi="Calibri" w:cs="Calibri"/>
                <w:b/>
                <w:color w:val="4F81BD"/>
                <w:sz w:val="24"/>
                <w:szCs w:val="24"/>
              </w:rPr>
            </w:pPr>
          </w:p>
          <w:p w14:paraId="0204376B" w14:textId="77777777" w:rsidR="00AC1ECA" w:rsidRDefault="00AC1ECA" w:rsidP="00161481">
            <w:pPr>
              <w:spacing w:before="40" w:after="40" w:line="240" w:lineRule="atLeast"/>
              <w:rPr>
                <w:rFonts w:ascii="Calibri" w:hAnsi="Calibri" w:cs="Calibri"/>
                <w:b/>
                <w:color w:val="4F81BD"/>
                <w:sz w:val="24"/>
                <w:szCs w:val="24"/>
              </w:rPr>
            </w:pPr>
          </w:p>
          <w:p w14:paraId="76CEB95C" w14:textId="77777777" w:rsidR="00AC1ECA" w:rsidRDefault="00AC1ECA" w:rsidP="00161481">
            <w:pPr>
              <w:spacing w:before="40" w:after="40" w:line="240" w:lineRule="atLeast"/>
              <w:rPr>
                <w:rFonts w:ascii="Calibri" w:hAnsi="Calibri" w:cs="Calibri"/>
                <w:b/>
                <w:color w:val="4F81BD"/>
                <w:sz w:val="24"/>
                <w:szCs w:val="24"/>
              </w:rPr>
            </w:pPr>
          </w:p>
          <w:p w14:paraId="73AA0606" w14:textId="77777777" w:rsidR="00AC1ECA" w:rsidRDefault="00AC1ECA" w:rsidP="00161481">
            <w:pPr>
              <w:spacing w:before="40" w:after="40" w:line="240" w:lineRule="atLeast"/>
              <w:rPr>
                <w:rFonts w:ascii="Calibri" w:hAnsi="Calibri" w:cs="Calibri"/>
                <w:b/>
                <w:color w:val="4F81BD"/>
                <w:sz w:val="24"/>
                <w:szCs w:val="24"/>
              </w:rPr>
            </w:pPr>
          </w:p>
          <w:p w14:paraId="5CB6040C" w14:textId="77777777" w:rsidR="00AC1ECA" w:rsidRDefault="00AC1ECA" w:rsidP="00161481">
            <w:pPr>
              <w:spacing w:before="40" w:after="40" w:line="240" w:lineRule="atLeast"/>
              <w:rPr>
                <w:rFonts w:ascii="Calibri" w:hAnsi="Calibri" w:cs="Calibri"/>
                <w:b/>
                <w:color w:val="4F81BD"/>
                <w:sz w:val="24"/>
                <w:szCs w:val="24"/>
              </w:rPr>
            </w:pPr>
          </w:p>
          <w:p w14:paraId="4DC6218A" w14:textId="77777777" w:rsidR="00AC1ECA" w:rsidRDefault="00AC1ECA" w:rsidP="00161481">
            <w:pPr>
              <w:spacing w:before="40" w:after="40" w:line="240" w:lineRule="atLeast"/>
              <w:rPr>
                <w:rFonts w:ascii="Calibri" w:hAnsi="Calibri" w:cs="Calibri"/>
                <w:b/>
                <w:color w:val="4F81BD"/>
                <w:sz w:val="24"/>
                <w:szCs w:val="24"/>
              </w:rPr>
            </w:pPr>
          </w:p>
          <w:p w14:paraId="45019B86" w14:textId="77777777" w:rsidR="00AC1ECA" w:rsidRDefault="00AC1ECA" w:rsidP="00161481">
            <w:pPr>
              <w:spacing w:before="40" w:after="40" w:line="240" w:lineRule="atLeast"/>
              <w:rPr>
                <w:rFonts w:ascii="Calibri" w:hAnsi="Calibri" w:cs="Calibri"/>
                <w:b/>
                <w:color w:val="4F81BD"/>
                <w:sz w:val="24"/>
                <w:szCs w:val="24"/>
              </w:rPr>
            </w:pPr>
          </w:p>
          <w:p w14:paraId="69B84F33" w14:textId="77777777" w:rsidR="00AC1ECA" w:rsidRDefault="00AC1ECA" w:rsidP="00161481">
            <w:pPr>
              <w:spacing w:before="40" w:after="40" w:line="240" w:lineRule="atLeast"/>
              <w:rPr>
                <w:rFonts w:ascii="Calibri" w:hAnsi="Calibri" w:cs="Calibri"/>
                <w:b/>
                <w:color w:val="4F81BD"/>
                <w:sz w:val="24"/>
                <w:szCs w:val="24"/>
              </w:rPr>
            </w:pPr>
          </w:p>
          <w:p w14:paraId="5EC34A77" w14:textId="77777777" w:rsidR="00AC1ECA" w:rsidRDefault="00AC1ECA" w:rsidP="00161481">
            <w:pPr>
              <w:spacing w:before="40" w:after="40" w:line="240" w:lineRule="atLeast"/>
              <w:rPr>
                <w:rFonts w:ascii="Calibri" w:hAnsi="Calibri" w:cs="Calibri"/>
                <w:b/>
                <w:color w:val="4F81BD"/>
                <w:sz w:val="24"/>
                <w:szCs w:val="24"/>
              </w:rPr>
            </w:pPr>
          </w:p>
          <w:p w14:paraId="050CA980" w14:textId="77777777" w:rsidR="00AC1ECA" w:rsidRDefault="00AC1ECA" w:rsidP="00161481">
            <w:pPr>
              <w:spacing w:before="40" w:after="40" w:line="240" w:lineRule="atLeast"/>
              <w:rPr>
                <w:rFonts w:ascii="Calibri" w:hAnsi="Calibri" w:cs="Calibri"/>
                <w:b/>
                <w:color w:val="4F81BD"/>
                <w:sz w:val="24"/>
                <w:szCs w:val="24"/>
              </w:rPr>
            </w:pPr>
          </w:p>
          <w:p w14:paraId="51CF470D" w14:textId="77777777" w:rsidR="00AC1ECA" w:rsidRDefault="00AC1ECA" w:rsidP="00161481">
            <w:pPr>
              <w:spacing w:before="40" w:after="40" w:line="240" w:lineRule="atLeast"/>
              <w:rPr>
                <w:rFonts w:ascii="Calibri" w:hAnsi="Calibri" w:cs="Calibri"/>
                <w:b/>
                <w:color w:val="4F81BD"/>
                <w:sz w:val="24"/>
                <w:szCs w:val="24"/>
              </w:rPr>
            </w:pPr>
          </w:p>
          <w:p w14:paraId="17E5965E" w14:textId="77777777" w:rsidR="00AC1ECA" w:rsidRDefault="00AC1ECA" w:rsidP="00161481">
            <w:pPr>
              <w:spacing w:before="40" w:after="40" w:line="240" w:lineRule="atLeast"/>
              <w:rPr>
                <w:rFonts w:ascii="Calibri" w:hAnsi="Calibri" w:cs="Calibri"/>
                <w:b/>
                <w:color w:val="4F81BD"/>
                <w:sz w:val="24"/>
                <w:szCs w:val="24"/>
              </w:rPr>
            </w:pPr>
          </w:p>
          <w:p w14:paraId="5DC6430D" w14:textId="77777777" w:rsidR="00AC1ECA" w:rsidRDefault="00AC1ECA" w:rsidP="00161481">
            <w:pPr>
              <w:spacing w:before="40" w:after="40" w:line="240" w:lineRule="atLeast"/>
              <w:rPr>
                <w:rFonts w:ascii="Calibri" w:hAnsi="Calibri" w:cs="Calibri"/>
                <w:b/>
                <w:color w:val="4F81BD"/>
                <w:sz w:val="24"/>
                <w:szCs w:val="24"/>
              </w:rPr>
            </w:pPr>
          </w:p>
          <w:p w14:paraId="1A073EB0" w14:textId="77777777" w:rsidR="00AC1ECA" w:rsidRDefault="00AC1ECA" w:rsidP="00161481">
            <w:pPr>
              <w:spacing w:before="40" w:after="40" w:line="240" w:lineRule="atLeast"/>
              <w:rPr>
                <w:rFonts w:ascii="Calibri" w:hAnsi="Calibri" w:cs="Calibri"/>
                <w:b/>
                <w:color w:val="4F81BD"/>
                <w:sz w:val="24"/>
                <w:szCs w:val="24"/>
              </w:rPr>
            </w:pPr>
          </w:p>
          <w:p w14:paraId="22FCAE2C" w14:textId="77777777" w:rsidR="00AC1ECA" w:rsidRPr="00F4103E" w:rsidRDefault="00AC1ECA" w:rsidP="00161481">
            <w:pPr>
              <w:spacing w:before="40" w:after="40" w:line="240" w:lineRule="atLeast"/>
              <w:rPr>
                <w:rFonts w:ascii="Calibri" w:hAnsi="Calibri" w:cs="Calibri"/>
                <w:b/>
                <w:color w:val="4F81BD"/>
                <w:sz w:val="24"/>
                <w:szCs w:val="24"/>
              </w:rPr>
            </w:pPr>
          </w:p>
        </w:tc>
        <w:tc>
          <w:tcPr>
            <w:tcW w:w="9355" w:type="dxa"/>
            <w:gridSpan w:val="2"/>
            <w:shd w:val="clear" w:color="auto" w:fill="auto"/>
          </w:tcPr>
          <w:p w14:paraId="52B2855B" w14:textId="77777777" w:rsidR="00C96274" w:rsidRPr="00B11AA3" w:rsidRDefault="003767D4" w:rsidP="00766CE4">
            <w:pPr>
              <w:spacing w:before="40" w:after="40" w:line="240" w:lineRule="atLeast"/>
              <w:rPr>
                <w:rFonts w:ascii="Calibri" w:hAnsi="Calibri" w:cs="Calibri"/>
                <w:b/>
                <w:color w:val="4F81BD"/>
                <w:sz w:val="22"/>
                <w:szCs w:val="22"/>
              </w:rPr>
            </w:pPr>
            <w:r w:rsidRPr="00F4103E">
              <w:rPr>
                <w:rFonts w:ascii="Calibri" w:hAnsi="Calibri" w:cs="Calibri"/>
                <w:b/>
                <w:color w:val="4F81BD"/>
                <w:sz w:val="24"/>
                <w:szCs w:val="24"/>
              </w:rPr>
              <w:lastRenderedPageBreak/>
              <w:t>Key Points</w:t>
            </w:r>
            <w:r w:rsidR="00871226" w:rsidRPr="00F4103E">
              <w:rPr>
                <w:rFonts w:ascii="Calibri" w:hAnsi="Calibri" w:cs="Calibri"/>
                <w:b/>
                <w:color w:val="4F81BD"/>
                <w:sz w:val="22"/>
                <w:szCs w:val="22"/>
              </w:rPr>
              <w:t xml:space="preserve"> </w:t>
            </w:r>
            <w:r w:rsidR="00AC1ECA">
              <w:rPr>
                <w:rFonts w:ascii="Calibri" w:hAnsi="Calibri" w:cs="Calibri"/>
                <w:b/>
                <w:color w:val="4F81BD"/>
                <w:sz w:val="22"/>
                <w:szCs w:val="22"/>
              </w:rPr>
              <w:t xml:space="preserve">– </w:t>
            </w:r>
            <w:r w:rsidR="00224922">
              <w:rPr>
                <w:rFonts w:ascii="Calibri" w:hAnsi="Calibri" w:cs="Calibri"/>
                <w:b/>
                <w:color w:val="4F81BD"/>
                <w:sz w:val="24"/>
                <w:szCs w:val="24"/>
              </w:rPr>
              <w:t>W</w:t>
            </w:r>
            <w:r w:rsidR="00AC1ECA" w:rsidRPr="00224922">
              <w:rPr>
                <w:rFonts w:ascii="Calibri" w:hAnsi="Calibri" w:cs="Calibri"/>
                <w:b/>
                <w:color w:val="4F81BD"/>
                <w:sz w:val="24"/>
                <w:szCs w:val="24"/>
              </w:rPr>
              <w:t>ork of the Committee</w:t>
            </w:r>
          </w:p>
        </w:tc>
      </w:tr>
      <w:tr w:rsidR="00101B16" w:rsidRPr="000273C9" w14:paraId="2DC0EB95" w14:textId="77777777" w:rsidTr="001D0D64">
        <w:tc>
          <w:tcPr>
            <w:tcW w:w="534" w:type="dxa"/>
            <w:vMerge/>
            <w:shd w:val="clear" w:color="auto" w:fill="auto"/>
          </w:tcPr>
          <w:p w14:paraId="58E7D2D6" w14:textId="77777777" w:rsidR="00101B16" w:rsidRPr="000273C9" w:rsidRDefault="00101B16" w:rsidP="00161481">
            <w:pPr>
              <w:spacing w:before="40" w:after="40" w:line="240" w:lineRule="atLeast"/>
              <w:rPr>
                <w:rFonts w:ascii="Helvetica 65 Medium" w:hAnsi="Helvetica 65 Medium"/>
                <w:sz w:val="24"/>
                <w:szCs w:val="24"/>
              </w:rPr>
            </w:pPr>
          </w:p>
        </w:tc>
        <w:tc>
          <w:tcPr>
            <w:tcW w:w="567" w:type="dxa"/>
            <w:shd w:val="clear" w:color="auto" w:fill="auto"/>
          </w:tcPr>
          <w:p w14:paraId="50903D73" w14:textId="77777777" w:rsidR="00101B16" w:rsidRDefault="00450296" w:rsidP="001D0D64">
            <w:pPr>
              <w:spacing w:before="40" w:after="40" w:line="240" w:lineRule="atLeast"/>
              <w:rPr>
                <w:rFonts w:ascii="Calibri" w:hAnsi="Calibri" w:cs="Calibri"/>
                <w:b/>
                <w:sz w:val="24"/>
                <w:szCs w:val="24"/>
              </w:rPr>
            </w:pPr>
            <w:proofErr w:type="spellStart"/>
            <w:r>
              <w:rPr>
                <w:rFonts w:ascii="Calibri" w:hAnsi="Calibri" w:cs="Calibri"/>
                <w:b/>
                <w:sz w:val="24"/>
                <w:szCs w:val="24"/>
              </w:rPr>
              <w:t>i</w:t>
            </w:r>
            <w:proofErr w:type="spellEnd"/>
          </w:p>
          <w:p w14:paraId="48923939" w14:textId="77777777" w:rsidR="00011CD5" w:rsidRPr="00781A14" w:rsidRDefault="00011CD5" w:rsidP="00161481">
            <w:pPr>
              <w:spacing w:before="40" w:after="40" w:line="240" w:lineRule="atLeast"/>
              <w:rPr>
                <w:rFonts w:ascii="Calibri" w:hAnsi="Calibri" w:cs="Calibri"/>
                <w:b/>
                <w:sz w:val="24"/>
                <w:szCs w:val="24"/>
              </w:rPr>
            </w:pPr>
          </w:p>
        </w:tc>
        <w:tc>
          <w:tcPr>
            <w:tcW w:w="8788" w:type="dxa"/>
            <w:shd w:val="clear" w:color="auto" w:fill="auto"/>
          </w:tcPr>
          <w:p w14:paraId="2CAA0E62" w14:textId="77777777" w:rsidR="00F13D25" w:rsidRPr="00450296" w:rsidRDefault="00647AD7" w:rsidP="00F13D25">
            <w:pPr>
              <w:spacing w:before="40" w:after="40" w:line="240" w:lineRule="atLeast"/>
              <w:ind w:right="-1100"/>
              <w:rPr>
                <w:rFonts w:ascii="Calibri" w:hAnsi="Calibri" w:cs="Calibri"/>
                <w:b/>
                <w:bCs/>
                <w:color w:val="4F81BD"/>
                <w:sz w:val="24"/>
                <w:szCs w:val="24"/>
              </w:rPr>
            </w:pPr>
            <w:r w:rsidRPr="00450296">
              <w:rPr>
                <w:rFonts w:ascii="Calibri" w:hAnsi="Calibri" w:cs="Calibri"/>
                <w:b/>
                <w:bCs/>
                <w:sz w:val="24"/>
                <w:szCs w:val="24"/>
              </w:rPr>
              <w:t xml:space="preserve"> </w:t>
            </w:r>
            <w:r w:rsidR="00450296" w:rsidRPr="00450296">
              <w:rPr>
                <w:rFonts w:ascii="Calibri" w:hAnsi="Calibri" w:cs="Calibri"/>
                <w:b/>
                <w:bCs/>
                <w:color w:val="4F81BD"/>
                <w:sz w:val="24"/>
                <w:szCs w:val="24"/>
              </w:rPr>
              <w:t>Membership</w:t>
            </w:r>
          </w:p>
          <w:p w14:paraId="12F694CE" w14:textId="77777777" w:rsidR="00F13D25" w:rsidRDefault="00F13D25" w:rsidP="00F13D25">
            <w:pPr>
              <w:spacing w:before="40" w:after="40" w:line="240" w:lineRule="atLeast"/>
              <w:ind w:right="-1100"/>
              <w:rPr>
                <w:rFonts w:ascii="Calibri" w:hAnsi="Calibri" w:cs="Calibri"/>
                <w:sz w:val="24"/>
                <w:szCs w:val="24"/>
              </w:rPr>
            </w:pPr>
            <w:r w:rsidRPr="00450296">
              <w:rPr>
                <w:rFonts w:ascii="Calibri" w:hAnsi="Calibri" w:cs="Calibri"/>
                <w:sz w:val="24"/>
                <w:szCs w:val="24"/>
              </w:rPr>
              <w:t>During the reporting period the Committee membership has been</w:t>
            </w:r>
            <w:r w:rsidR="00C65666" w:rsidRPr="00450296">
              <w:rPr>
                <w:rFonts w:ascii="Calibri" w:hAnsi="Calibri" w:cs="Calibri"/>
                <w:sz w:val="24"/>
                <w:szCs w:val="24"/>
              </w:rPr>
              <w:t>:</w:t>
            </w:r>
          </w:p>
          <w:p w14:paraId="4C6E6D1F" w14:textId="7E86D430" w:rsidR="003251AC" w:rsidRPr="00E75D72" w:rsidRDefault="00B84C9D" w:rsidP="00F13D25">
            <w:pPr>
              <w:spacing w:before="40" w:after="40" w:line="240" w:lineRule="atLeast"/>
              <w:ind w:right="-1100"/>
              <w:rPr>
                <w:rFonts w:ascii="Calibri" w:hAnsi="Calibri" w:cs="Calibri"/>
                <w:sz w:val="24"/>
                <w:szCs w:val="24"/>
                <w:u w:val="single"/>
              </w:rPr>
            </w:pPr>
            <w:r w:rsidRPr="00E75D72">
              <w:rPr>
                <w:rFonts w:ascii="Calibri" w:hAnsi="Calibri" w:cs="Calibri"/>
                <w:sz w:val="24"/>
                <w:szCs w:val="24"/>
                <w:u w:val="single"/>
              </w:rPr>
              <w:t xml:space="preserve">1 </w:t>
            </w:r>
            <w:r w:rsidR="00A23E56">
              <w:rPr>
                <w:rFonts w:ascii="Calibri" w:hAnsi="Calibri" w:cs="Calibri"/>
                <w:sz w:val="24"/>
                <w:szCs w:val="24"/>
                <w:u w:val="single"/>
              </w:rPr>
              <w:t>January</w:t>
            </w:r>
            <w:r w:rsidR="00A23E56" w:rsidRPr="00E75D72">
              <w:rPr>
                <w:rFonts w:ascii="Calibri" w:hAnsi="Calibri" w:cs="Calibri"/>
                <w:sz w:val="24"/>
                <w:szCs w:val="24"/>
                <w:u w:val="single"/>
              </w:rPr>
              <w:t xml:space="preserve"> </w:t>
            </w:r>
            <w:r w:rsidRPr="00E75D72">
              <w:rPr>
                <w:rFonts w:ascii="Calibri" w:hAnsi="Calibri" w:cs="Calibri"/>
                <w:sz w:val="24"/>
                <w:szCs w:val="24"/>
                <w:u w:val="single"/>
              </w:rPr>
              <w:t xml:space="preserve">2020 to </w:t>
            </w:r>
            <w:r w:rsidR="00A23E56">
              <w:rPr>
                <w:rFonts w:ascii="Calibri" w:hAnsi="Calibri" w:cs="Calibri"/>
                <w:sz w:val="24"/>
                <w:szCs w:val="24"/>
                <w:u w:val="single"/>
              </w:rPr>
              <w:t>June 2020</w:t>
            </w:r>
          </w:p>
          <w:p w14:paraId="435D2404" w14:textId="77777777" w:rsidR="003251AC" w:rsidRDefault="00A23E56" w:rsidP="00E75D72">
            <w:pPr>
              <w:numPr>
                <w:ilvl w:val="0"/>
                <w:numId w:val="15"/>
              </w:numPr>
              <w:spacing w:before="40" w:after="40" w:line="240" w:lineRule="atLeast"/>
              <w:ind w:right="-1100"/>
              <w:rPr>
                <w:rFonts w:ascii="Calibri" w:hAnsi="Calibri" w:cs="Calibri"/>
                <w:sz w:val="24"/>
                <w:szCs w:val="24"/>
              </w:rPr>
            </w:pPr>
            <w:r>
              <w:rPr>
                <w:rFonts w:ascii="Calibri" w:hAnsi="Calibri" w:cs="Calibri"/>
                <w:sz w:val="24"/>
                <w:szCs w:val="24"/>
              </w:rPr>
              <w:t>Derek Bray (Chair)</w:t>
            </w:r>
          </w:p>
          <w:p w14:paraId="673B7A8D" w14:textId="6FEA4024" w:rsidR="003251AC" w:rsidRDefault="00A23E56" w:rsidP="00E75D72">
            <w:pPr>
              <w:numPr>
                <w:ilvl w:val="0"/>
                <w:numId w:val="15"/>
              </w:numPr>
              <w:spacing w:before="40" w:after="40" w:line="240" w:lineRule="atLeast"/>
              <w:ind w:right="-1100"/>
              <w:rPr>
                <w:rFonts w:ascii="Calibri" w:hAnsi="Calibri" w:cs="Calibri"/>
                <w:sz w:val="24"/>
                <w:szCs w:val="24"/>
              </w:rPr>
            </w:pPr>
            <w:r>
              <w:rPr>
                <w:rFonts w:ascii="Calibri" w:hAnsi="Calibri" w:cs="Calibri"/>
                <w:sz w:val="24"/>
                <w:szCs w:val="24"/>
              </w:rPr>
              <w:t>Alison White</w:t>
            </w:r>
            <w:r w:rsidR="00282D59">
              <w:rPr>
                <w:rFonts w:ascii="Calibri" w:hAnsi="Calibri" w:cs="Calibri"/>
                <w:sz w:val="24"/>
                <w:szCs w:val="24"/>
              </w:rPr>
              <w:t xml:space="preserve"> (resigned from the Board 5 June 2020)</w:t>
            </w:r>
          </w:p>
          <w:p w14:paraId="6FD96FE7" w14:textId="77777777" w:rsidR="00A23E56" w:rsidRDefault="00A23E56" w:rsidP="00E75D72">
            <w:pPr>
              <w:numPr>
                <w:ilvl w:val="0"/>
                <w:numId w:val="15"/>
              </w:numPr>
              <w:spacing w:before="40" w:after="40" w:line="240" w:lineRule="atLeast"/>
              <w:ind w:right="-1100"/>
              <w:rPr>
                <w:rFonts w:ascii="Calibri" w:hAnsi="Calibri" w:cs="Calibri"/>
                <w:sz w:val="24"/>
                <w:szCs w:val="24"/>
              </w:rPr>
            </w:pPr>
            <w:r>
              <w:rPr>
                <w:rFonts w:ascii="Calibri" w:hAnsi="Calibri" w:cs="Calibri"/>
                <w:sz w:val="24"/>
                <w:szCs w:val="24"/>
              </w:rPr>
              <w:t>Stephen McCusker</w:t>
            </w:r>
          </w:p>
          <w:p w14:paraId="03A6D45A" w14:textId="77777777" w:rsidR="003251AC" w:rsidRPr="00450296" w:rsidRDefault="00A23E56" w:rsidP="00E75D72">
            <w:pPr>
              <w:numPr>
                <w:ilvl w:val="0"/>
                <w:numId w:val="15"/>
              </w:numPr>
              <w:spacing w:before="40" w:after="40" w:line="240" w:lineRule="atLeast"/>
              <w:ind w:right="-1100"/>
              <w:rPr>
                <w:rFonts w:ascii="Calibri" w:hAnsi="Calibri" w:cs="Calibri"/>
                <w:sz w:val="24"/>
                <w:szCs w:val="24"/>
              </w:rPr>
            </w:pPr>
            <w:r>
              <w:rPr>
                <w:rFonts w:ascii="Calibri" w:hAnsi="Calibri" w:cs="Calibri"/>
                <w:sz w:val="24"/>
                <w:szCs w:val="24"/>
              </w:rPr>
              <w:t>Ian Muir</w:t>
            </w:r>
            <w:r w:rsidR="003251AC">
              <w:rPr>
                <w:rFonts w:ascii="Calibri" w:hAnsi="Calibri" w:cs="Calibri"/>
                <w:sz w:val="24"/>
                <w:szCs w:val="24"/>
              </w:rPr>
              <w:t xml:space="preserve"> (Independent Member)</w:t>
            </w:r>
          </w:p>
          <w:p w14:paraId="322D35AC" w14:textId="77777777" w:rsidR="00767B38" w:rsidRDefault="00767B38" w:rsidP="00C65666">
            <w:pPr>
              <w:rPr>
                <w:rFonts w:ascii="Calibri" w:hAnsi="Calibri"/>
                <w:sz w:val="24"/>
                <w:szCs w:val="24"/>
              </w:rPr>
            </w:pPr>
          </w:p>
          <w:p w14:paraId="0B70CB13" w14:textId="15024DDD" w:rsidR="00B84C9D" w:rsidRPr="00E75D72" w:rsidRDefault="00A23E56" w:rsidP="00224922">
            <w:pPr>
              <w:rPr>
                <w:rFonts w:ascii="Calibri" w:hAnsi="Calibri"/>
                <w:sz w:val="24"/>
                <w:szCs w:val="24"/>
                <w:u w:val="single"/>
              </w:rPr>
            </w:pPr>
            <w:r>
              <w:rPr>
                <w:rFonts w:ascii="Calibri" w:hAnsi="Calibri"/>
                <w:sz w:val="24"/>
                <w:szCs w:val="24"/>
                <w:u w:val="single"/>
              </w:rPr>
              <w:t>June</w:t>
            </w:r>
            <w:r w:rsidR="00B84C9D" w:rsidRPr="00E75D72">
              <w:rPr>
                <w:rFonts w:ascii="Calibri" w:hAnsi="Calibri"/>
                <w:sz w:val="24"/>
                <w:szCs w:val="24"/>
                <w:u w:val="single"/>
              </w:rPr>
              <w:t xml:space="preserve"> 202</w:t>
            </w:r>
            <w:r w:rsidR="007C1EC7">
              <w:rPr>
                <w:rFonts w:ascii="Calibri" w:hAnsi="Calibri"/>
                <w:sz w:val="24"/>
                <w:szCs w:val="24"/>
                <w:u w:val="single"/>
              </w:rPr>
              <w:t>0</w:t>
            </w:r>
            <w:r w:rsidR="00B84C9D" w:rsidRPr="00E75D72">
              <w:rPr>
                <w:rFonts w:ascii="Calibri" w:hAnsi="Calibri"/>
                <w:sz w:val="24"/>
                <w:szCs w:val="24"/>
                <w:u w:val="single"/>
              </w:rPr>
              <w:t xml:space="preserve"> to </w:t>
            </w:r>
            <w:r>
              <w:rPr>
                <w:rFonts w:ascii="Calibri" w:hAnsi="Calibri"/>
                <w:sz w:val="24"/>
                <w:szCs w:val="24"/>
                <w:u w:val="single"/>
              </w:rPr>
              <w:t>31 May</w:t>
            </w:r>
            <w:r w:rsidR="00B84C9D" w:rsidRPr="00E75D72">
              <w:rPr>
                <w:rFonts w:ascii="Calibri" w:hAnsi="Calibri"/>
                <w:sz w:val="24"/>
                <w:szCs w:val="24"/>
                <w:u w:val="single"/>
              </w:rPr>
              <w:t xml:space="preserve"> 2021</w:t>
            </w:r>
          </w:p>
          <w:p w14:paraId="012B453D" w14:textId="77777777" w:rsidR="00B84C9D" w:rsidRDefault="00A23E56" w:rsidP="00E75D72">
            <w:pPr>
              <w:numPr>
                <w:ilvl w:val="0"/>
                <w:numId w:val="16"/>
              </w:numPr>
              <w:spacing w:before="40" w:after="40" w:line="240" w:lineRule="atLeast"/>
              <w:ind w:right="-1100"/>
              <w:rPr>
                <w:rFonts w:ascii="Calibri" w:hAnsi="Calibri" w:cs="Calibri"/>
                <w:sz w:val="24"/>
                <w:szCs w:val="24"/>
              </w:rPr>
            </w:pPr>
            <w:r>
              <w:rPr>
                <w:rFonts w:ascii="Calibri" w:hAnsi="Calibri" w:cs="Calibri"/>
                <w:sz w:val="24"/>
                <w:szCs w:val="24"/>
              </w:rPr>
              <w:t>Derek Bray</w:t>
            </w:r>
            <w:r w:rsidR="00B84C9D">
              <w:rPr>
                <w:rFonts w:ascii="Calibri" w:hAnsi="Calibri" w:cs="Calibri"/>
                <w:sz w:val="24"/>
                <w:szCs w:val="24"/>
              </w:rPr>
              <w:t xml:space="preserve"> (Chair)</w:t>
            </w:r>
          </w:p>
          <w:p w14:paraId="740BE483" w14:textId="77777777" w:rsidR="00B84C9D" w:rsidRDefault="00A23E56" w:rsidP="00E75D72">
            <w:pPr>
              <w:numPr>
                <w:ilvl w:val="0"/>
                <w:numId w:val="16"/>
              </w:numPr>
              <w:spacing w:before="40" w:after="40" w:line="240" w:lineRule="atLeast"/>
              <w:ind w:right="-1100"/>
              <w:rPr>
                <w:rFonts w:ascii="Calibri" w:hAnsi="Calibri" w:cs="Calibri"/>
                <w:sz w:val="24"/>
                <w:szCs w:val="24"/>
              </w:rPr>
            </w:pPr>
            <w:r>
              <w:rPr>
                <w:rFonts w:ascii="Calibri" w:hAnsi="Calibri" w:cs="Calibri"/>
                <w:sz w:val="24"/>
                <w:szCs w:val="24"/>
              </w:rPr>
              <w:t>Alan Kershaw</w:t>
            </w:r>
          </w:p>
          <w:p w14:paraId="074A6E01" w14:textId="77777777" w:rsidR="00A23E56" w:rsidRDefault="00A23E56" w:rsidP="00E75D72">
            <w:pPr>
              <w:numPr>
                <w:ilvl w:val="0"/>
                <w:numId w:val="16"/>
              </w:numPr>
              <w:spacing w:before="40" w:after="40" w:line="240" w:lineRule="atLeast"/>
              <w:ind w:right="-1100"/>
              <w:rPr>
                <w:rFonts w:ascii="Calibri" w:hAnsi="Calibri" w:cs="Calibri"/>
                <w:sz w:val="24"/>
                <w:szCs w:val="24"/>
              </w:rPr>
            </w:pPr>
            <w:r>
              <w:rPr>
                <w:rFonts w:ascii="Calibri" w:hAnsi="Calibri" w:cs="Calibri"/>
                <w:sz w:val="24"/>
                <w:szCs w:val="24"/>
              </w:rPr>
              <w:t>Stephen McCusker</w:t>
            </w:r>
          </w:p>
          <w:p w14:paraId="4D6AD77B" w14:textId="33F8A97F" w:rsidR="00B84C9D" w:rsidRDefault="00282D59" w:rsidP="00E75D72">
            <w:pPr>
              <w:numPr>
                <w:ilvl w:val="0"/>
                <w:numId w:val="16"/>
              </w:numPr>
              <w:spacing w:before="40" w:after="40" w:line="240" w:lineRule="atLeast"/>
              <w:ind w:right="-1100"/>
              <w:rPr>
                <w:rFonts w:ascii="Calibri" w:hAnsi="Calibri" w:cs="Calibri"/>
                <w:sz w:val="24"/>
                <w:szCs w:val="24"/>
              </w:rPr>
            </w:pPr>
            <w:r>
              <w:rPr>
                <w:rFonts w:ascii="Calibri" w:hAnsi="Calibri" w:cs="Calibri"/>
                <w:sz w:val="24"/>
                <w:szCs w:val="24"/>
              </w:rPr>
              <w:t>Ian Muir</w:t>
            </w:r>
            <w:r w:rsidR="00B84C9D">
              <w:rPr>
                <w:rFonts w:ascii="Calibri" w:hAnsi="Calibri" w:cs="Calibri"/>
                <w:sz w:val="24"/>
                <w:szCs w:val="24"/>
              </w:rPr>
              <w:t xml:space="preserve"> (Independent Member)</w:t>
            </w:r>
          </w:p>
          <w:p w14:paraId="009D4DDE" w14:textId="77777777" w:rsidR="003251AC" w:rsidRPr="00224922" w:rsidRDefault="003251AC" w:rsidP="00A23E56">
            <w:pPr>
              <w:rPr>
                <w:rFonts w:ascii="Calibri" w:hAnsi="Calibri"/>
                <w:sz w:val="24"/>
                <w:szCs w:val="24"/>
              </w:rPr>
            </w:pPr>
          </w:p>
        </w:tc>
      </w:tr>
      <w:tr w:rsidR="00224922" w:rsidRPr="000273C9" w14:paraId="544C542F" w14:textId="77777777" w:rsidTr="001D0D64">
        <w:tc>
          <w:tcPr>
            <w:tcW w:w="534" w:type="dxa"/>
            <w:vMerge/>
            <w:shd w:val="clear" w:color="auto" w:fill="auto"/>
          </w:tcPr>
          <w:p w14:paraId="5D1A73DE" w14:textId="77777777" w:rsidR="00224922" w:rsidRPr="000273C9" w:rsidRDefault="00224922" w:rsidP="00161481">
            <w:pPr>
              <w:spacing w:before="40" w:after="40" w:line="240" w:lineRule="atLeast"/>
              <w:rPr>
                <w:rFonts w:ascii="Helvetica 65 Medium" w:hAnsi="Helvetica 65 Medium"/>
                <w:sz w:val="24"/>
                <w:szCs w:val="24"/>
              </w:rPr>
            </w:pPr>
          </w:p>
        </w:tc>
        <w:tc>
          <w:tcPr>
            <w:tcW w:w="567" w:type="dxa"/>
            <w:shd w:val="clear" w:color="auto" w:fill="auto"/>
          </w:tcPr>
          <w:p w14:paraId="5ADBEE97" w14:textId="77777777" w:rsidR="00224922" w:rsidRDefault="00224922" w:rsidP="001D0D64">
            <w:pPr>
              <w:spacing w:before="40" w:after="40" w:line="240" w:lineRule="atLeast"/>
              <w:rPr>
                <w:rFonts w:ascii="Calibri" w:hAnsi="Calibri" w:cs="Calibri"/>
                <w:b/>
                <w:sz w:val="24"/>
                <w:szCs w:val="24"/>
              </w:rPr>
            </w:pPr>
            <w:r w:rsidRPr="00E75D72">
              <w:rPr>
                <w:rFonts w:ascii="Calibri" w:hAnsi="Calibri" w:cs="Calibri"/>
                <w:bCs/>
                <w:sz w:val="24"/>
                <w:szCs w:val="24"/>
              </w:rPr>
              <w:t>ii</w:t>
            </w:r>
            <w:r>
              <w:rPr>
                <w:rFonts w:ascii="Calibri" w:hAnsi="Calibri" w:cs="Calibri"/>
                <w:b/>
                <w:sz w:val="24"/>
                <w:szCs w:val="24"/>
              </w:rPr>
              <w:t>.</w:t>
            </w:r>
          </w:p>
        </w:tc>
        <w:tc>
          <w:tcPr>
            <w:tcW w:w="8788" w:type="dxa"/>
            <w:shd w:val="clear" w:color="auto" w:fill="auto"/>
          </w:tcPr>
          <w:p w14:paraId="425CFE68" w14:textId="77777777" w:rsidR="00224922" w:rsidRPr="00450296" w:rsidRDefault="00224922" w:rsidP="00224922">
            <w:pPr>
              <w:spacing w:before="40" w:after="40" w:line="240" w:lineRule="atLeast"/>
              <w:ind w:right="-1100"/>
              <w:rPr>
                <w:rFonts w:ascii="Calibri" w:hAnsi="Calibri"/>
                <w:b/>
                <w:bCs/>
                <w:sz w:val="24"/>
                <w:szCs w:val="24"/>
              </w:rPr>
            </w:pPr>
            <w:r w:rsidRPr="00450296">
              <w:rPr>
                <w:rFonts w:ascii="Calibri" w:hAnsi="Calibri" w:cs="Calibri"/>
                <w:b/>
                <w:bCs/>
                <w:color w:val="4F81BD"/>
                <w:sz w:val="24"/>
                <w:szCs w:val="24"/>
              </w:rPr>
              <w:t>M</w:t>
            </w:r>
            <w:r>
              <w:rPr>
                <w:rFonts w:ascii="Calibri" w:hAnsi="Calibri" w:cs="Calibri"/>
                <w:b/>
                <w:bCs/>
                <w:color w:val="4F81BD"/>
                <w:sz w:val="24"/>
                <w:szCs w:val="24"/>
              </w:rPr>
              <w:t>eetings</w:t>
            </w:r>
          </w:p>
          <w:p w14:paraId="0498B6AC" w14:textId="77777777" w:rsidR="00224922" w:rsidRDefault="00224922" w:rsidP="003251AC">
            <w:pPr>
              <w:rPr>
                <w:rFonts w:ascii="Calibri" w:hAnsi="Calibri" w:cs="Calibri"/>
                <w:sz w:val="24"/>
                <w:szCs w:val="24"/>
              </w:rPr>
            </w:pPr>
            <w:r w:rsidRPr="00450296">
              <w:rPr>
                <w:rFonts w:ascii="Calibri" w:hAnsi="Calibri" w:cs="Calibri"/>
                <w:sz w:val="24"/>
                <w:szCs w:val="24"/>
              </w:rPr>
              <w:t xml:space="preserve">The Committee </w:t>
            </w:r>
            <w:r w:rsidR="00E75D72">
              <w:rPr>
                <w:rFonts w:ascii="Calibri" w:hAnsi="Calibri" w:cs="Calibri"/>
                <w:sz w:val="24"/>
                <w:szCs w:val="24"/>
              </w:rPr>
              <w:t xml:space="preserve">held </w:t>
            </w:r>
            <w:r w:rsidR="00A23E56">
              <w:rPr>
                <w:rFonts w:ascii="Calibri" w:hAnsi="Calibri" w:cs="Calibri"/>
                <w:sz w:val="24"/>
                <w:szCs w:val="24"/>
              </w:rPr>
              <w:t xml:space="preserve">eight </w:t>
            </w:r>
            <w:r w:rsidR="00E75D72">
              <w:rPr>
                <w:rFonts w:ascii="Calibri" w:hAnsi="Calibri" w:cs="Calibri"/>
                <w:sz w:val="24"/>
                <w:szCs w:val="24"/>
              </w:rPr>
              <w:t>meetings</w:t>
            </w:r>
            <w:r w:rsidRPr="00450296">
              <w:rPr>
                <w:rFonts w:ascii="Calibri" w:hAnsi="Calibri" w:cs="Calibri"/>
                <w:sz w:val="24"/>
                <w:szCs w:val="24"/>
              </w:rPr>
              <w:t xml:space="preserve"> between </w:t>
            </w:r>
            <w:r w:rsidR="00A23E56">
              <w:rPr>
                <w:rFonts w:ascii="Calibri" w:hAnsi="Calibri" w:cs="Calibri"/>
                <w:sz w:val="24"/>
                <w:szCs w:val="24"/>
              </w:rPr>
              <w:t>1 January 2020</w:t>
            </w:r>
            <w:r w:rsidRPr="00450296">
              <w:rPr>
                <w:rFonts w:ascii="Calibri" w:hAnsi="Calibri" w:cs="Calibri"/>
                <w:sz w:val="24"/>
                <w:szCs w:val="24"/>
              </w:rPr>
              <w:t xml:space="preserve"> and </w:t>
            </w:r>
            <w:r w:rsidR="00A23E56">
              <w:rPr>
                <w:rFonts w:ascii="Calibri" w:hAnsi="Calibri" w:cs="Calibri"/>
                <w:sz w:val="24"/>
                <w:szCs w:val="24"/>
              </w:rPr>
              <w:t xml:space="preserve">31 May </w:t>
            </w:r>
            <w:r w:rsidR="003251AC">
              <w:rPr>
                <w:rFonts w:ascii="Calibri" w:hAnsi="Calibri" w:cs="Calibri"/>
                <w:sz w:val="24"/>
                <w:szCs w:val="24"/>
              </w:rPr>
              <w:t xml:space="preserve">2021.  The Committee was quorate for </w:t>
            </w:r>
            <w:r w:rsidR="00A23E56">
              <w:rPr>
                <w:rFonts w:ascii="Calibri" w:hAnsi="Calibri" w:cs="Calibri"/>
                <w:sz w:val="24"/>
                <w:szCs w:val="24"/>
              </w:rPr>
              <w:t>all meetings</w:t>
            </w:r>
            <w:r w:rsidR="003251AC">
              <w:rPr>
                <w:rFonts w:ascii="Calibri" w:hAnsi="Calibri" w:cs="Calibri"/>
                <w:sz w:val="24"/>
                <w:szCs w:val="24"/>
              </w:rPr>
              <w:t>.</w:t>
            </w:r>
          </w:p>
          <w:p w14:paraId="71A4A49F" w14:textId="77777777" w:rsidR="00B84C9D" w:rsidRPr="00450296" w:rsidRDefault="00B84C9D" w:rsidP="003251AC">
            <w:pPr>
              <w:rPr>
                <w:rFonts w:ascii="Calibri" w:hAnsi="Calibri" w:cs="Calibri"/>
                <w:b/>
                <w:bCs/>
                <w:sz w:val="24"/>
                <w:szCs w:val="24"/>
              </w:rPr>
            </w:pPr>
          </w:p>
        </w:tc>
      </w:tr>
      <w:tr w:rsidR="00224922" w:rsidRPr="000273C9" w14:paraId="251A283B" w14:textId="77777777" w:rsidTr="001D0D64">
        <w:trPr>
          <w:trHeight w:val="2126"/>
        </w:trPr>
        <w:tc>
          <w:tcPr>
            <w:tcW w:w="534" w:type="dxa"/>
            <w:vMerge/>
            <w:shd w:val="clear" w:color="auto" w:fill="auto"/>
          </w:tcPr>
          <w:p w14:paraId="0F46629F" w14:textId="77777777" w:rsidR="00224922" w:rsidRPr="000273C9" w:rsidRDefault="00224922" w:rsidP="00161481">
            <w:pPr>
              <w:spacing w:before="40" w:after="40" w:line="240" w:lineRule="atLeast"/>
              <w:rPr>
                <w:rFonts w:ascii="Helvetica 65 Medium" w:hAnsi="Helvetica 65 Medium"/>
                <w:sz w:val="24"/>
                <w:szCs w:val="24"/>
              </w:rPr>
            </w:pPr>
          </w:p>
        </w:tc>
        <w:tc>
          <w:tcPr>
            <w:tcW w:w="567" w:type="dxa"/>
            <w:shd w:val="clear" w:color="auto" w:fill="auto"/>
          </w:tcPr>
          <w:p w14:paraId="1A42358C" w14:textId="77777777" w:rsidR="00224922" w:rsidRPr="001D0D64" w:rsidRDefault="00224922" w:rsidP="001D0D64">
            <w:pPr>
              <w:spacing w:before="40" w:after="40" w:line="240" w:lineRule="atLeast"/>
              <w:rPr>
                <w:rFonts w:ascii="Calibri" w:hAnsi="Calibri" w:cs="Calibri"/>
                <w:sz w:val="24"/>
                <w:szCs w:val="24"/>
              </w:rPr>
            </w:pPr>
            <w:r>
              <w:rPr>
                <w:rFonts w:ascii="Calibri" w:hAnsi="Calibri" w:cs="Calibri"/>
                <w:sz w:val="24"/>
                <w:szCs w:val="24"/>
              </w:rPr>
              <w:t>iii.</w:t>
            </w:r>
          </w:p>
        </w:tc>
        <w:tc>
          <w:tcPr>
            <w:tcW w:w="8788" w:type="dxa"/>
            <w:shd w:val="clear" w:color="auto" w:fill="auto"/>
          </w:tcPr>
          <w:p w14:paraId="790CEFC8" w14:textId="77777777" w:rsidR="00224922" w:rsidRPr="00D65E35" w:rsidRDefault="00224922" w:rsidP="00224922">
            <w:pPr>
              <w:rPr>
                <w:rFonts w:ascii="Calibri" w:hAnsi="Calibri" w:cs="Calibri"/>
                <w:sz w:val="24"/>
                <w:szCs w:val="24"/>
              </w:rPr>
            </w:pPr>
            <w:r w:rsidRPr="00450296">
              <w:rPr>
                <w:rFonts w:ascii="Calibri" w:hAnsi="Calibri" w:cs="Calibri"/>
                <w:b/>
                <w:bCs/>
                <w:color w:val="4F81BD"/>
                <w:sz w:val="24"/>
                <w:szCs w:val="24"/>
              </w:rPr>
              <w:t>Attendees</w:t>
            </w:r>
          </w:p>
          <w:p w14:paraId="0057C724" w14:textId="53C2C451" w:rsidR="00224922" w:rsidRDefault="00D9400C" w:rsidP="00224922">
            <w:pPr>
              <w:rPr>
                <w:rFonts w:ascii="Calibri" w:hAnsi="Calibri" w:cs="Calibri"/>
                <w:sz w:val="24"/>
                <w:szCs w:val="24"/>
              </w:rPr>
            </w:pPr>
            <w:r>
              <w:rPr>
                <w:rFonts w:ascii="Calibri" w:hAnsi="Calibri" w:cs="Calibri"/>
                <w:sz w:val="24"/>
                <w:szCs w:val="24"/>
              </w:rPr>
              <w:t xml:space="preserve">A representative from IES, the company who carried out the initial pay and reward review presented </w:t>
            </w:r>
            <w:r w:rsidR="00CF0841">
              <w:rPr>
                <w:rFonts w:ascii="Calibri" w:hAnsi="Calibri" w:cs="Calibri"/>
                <w:sz w:val="24"/>
                <w:szCs w:val="24"/>
              </w:rPr>
              <w:t xml:space="preserve">a summary of </w:t>
            </w:r>
            <w:r>
              <w:rPr>
                <w:rFonts w:ascii="Calibri" w:hAnsi="Calibri" w:cs="Calibri"/>
                <w:sz w:val="24"/>
                <w:szCs w:val="24"/>
              </w:rPr>
              <w:t>the review findings to the Committee in April 2020.</w:t>
            </w:r>
          </w:p>
          <w:p w14:paraId="427F70BE" w14:textId="77777777" w:rsidR="00D9400C" w:rsidRDefault="00D9400C" w:rsidP="00224922">
            <w:pPr>
              <w:rPr>
                <w:rFonts w:ascii="Calibri" w:hAnsi="Calibri" w:cs="Calibri"/>
                <w:sz w:val="24"/>
                <w:szCs w:val="24"/>
              </w:rPr>
            </w:pPr>
          </w:p>
          <w:p w14:paraId="2E14F980" w14:textId="77777777" w:rsidR="00D9400C" w:rsidRPr="00450296" w:rsidRDefault="00D9400C" w:rsidP="00224922">
            <w:pPr>
              <w:rPr>
                <w:rFonts w:ascii="Calibri" w:hAnsi="Calibri" w:cs="Calibri"/>
                <w:sz w:val="24"/>
                <w:szCs w:val="24"/>
              </w:rPr>
            </w:pPr>
            <w:r>
              <w:rPr>
                <w:rFonts w:ascii="Calibri" w:hAnsi="Calibri" w:cs="Calibri"/>
                <w:sz w:val="24"/>
                <w:szCs w:val="24"/>
              </w:rPr>
              <w:t>Board member Emeritus Professor T Crook attended a section of the 27 May 2020 Committee meeting.  The Board had requested that Professor Crook be the Board’s point of contact with the Ministry for Housing, Communities and Local Government (MHCLG) concerning the departure of the former Chief Executive Officer. Professor Crook attended the Committee meeting to provide an update from the MHCLG.</w:t>
            </w:r>
          </w:p>
          <w:p w14:paraId="75B46882" w14:textId="77777777" w:rsidR="00224922" w:rsidRPr="00A47D11" w:rsidRDefault="00224922" w:rsidP="001D0D64">
            <w:pPr>
              <w:spacing w:before="40" w:after="40" w:line="240" w:lineRule="atLeast"/>
              <w:rPr>
                <w:rFonts w:ascii="Calibri" w:hAnsi="Calibri" w:cs="Calibri"/>
                <w:sz w:val="24"/>
                <w:szCs w:val="24"/>
              </w:rPr>
            </w:pPr>
          </w:p>
        </w:tc>
      </w:tr>
      <w:tr w:rsidR="00224922" w:rsidRPr="000273C9" w14:paraId="3B68610C" w14:textId="77777777" w:rsidTr="001D0D64">
        <w:trPr>
          <w:trHeight w:val="2126"/>
        </w:trPr>
        <w:tc>
          <w:tcPr>
            <w:tcW w:w="534" w:type="dxa"/>
            <w:vMerge/>
            <w:shd w:val="clear" w:color="auto" w:fill="auto"/>
          </w:tcPr>
          <w:p w14:paraId="77863393" w14:textId="77777777" w:rsidR="00224922" w:rsidRPr="000273C9" w:rsidRDefault="00224922" w:rsidP="00161481">
            <w:pPr>
              <w:spacing w:before="40" w:after="40" w:line="240" w:lineRule="atLeast"/>
              <w:rPr>
                <w:rFonts w:ascii="Helvetica 65 Medium" w:hAnsi="Helvetica 65 Medium"/>
                <w:sz w:val="24"/>
                <w:szCs w:val="24"/>
              </w:rPr>
            </w:pPr>
          </w:p>
        </w:tc>
        <w:tc>
          <w:tcPr>
            <w:tcW w:w="567" w:type="dxa"/>
            <w:shd w:val="clear" w:color="auto" w:fill="auto"/>
          </w:tcPr>
          <w:p w14:paraId="72758DED" w14:textId="77777777" w:rsidR="00224922" w:rsidRPr="001D0D64" w:rsidRDefault="00224922" w:rsidP="001D0D64">
            <w:pPr>
              <w:spacing w:before="40" w:after="40" w:line="240" w:lineRule="atLeast"/>
              <w:rPr>
                <w:rFonts w:ascii="Calibri" w:hAnsi="Calibri" w:cs="Calibri"/>
                <w:sz w:val="24"/>
                <w:szCs w:val="24"/>
              </w:rPr>
            </w:pPr>
            <w:r>
              <w:rPr>
                <w:rFonts w:ascii="Calibri" w:hAnsi="Calibri" w:cs="Calibri"/>
                <w:sz w:val="24"/>
                <w:szCs w:val="24"/>
              </w:rPr>
              <w:t>iv.</w:t>
            </w:r>
          </w:p>
        </w:tc>
        <w:tc>
          <w:tcPr>
            <w:tcW w:w="8788" w:type="dxa"/>
            <w:shd w:val="clear" w:color="auto" w:fill="auto"/>
          </w:tcPr>
          <w:p w14:paraId="22D2C34C" w14:textId="77777777" w:rsidR="00224922" w:rsidRPr="00450296" w:rsidRDefault="00224922" w:rsidP="00224922">
            <w:pPr>
              <w:spacing w:before="40" w:after="40" w:line="240" w:lineRule="atLeast"/>
              <w:ind w:right="-1100"/>
              <w:rPr>
                <w:rFonts w:ascii="Calibri" w:hAnsi="Calibri" w:cs="Calibri"/>
                <w:b/>
                <w:bCs/>
                <w:color w:val="4F81BD"/>
                <w:sz w:val="24"/>
                <w:szCs w:val="24"/>
              </w:rPr>
            </w:pPr>
            <w:r w:rsidRPr="00450296">
              <w:rPr>
                <w:rFonts w:ascii="Calibri" w:hAnsi="Calibri" w:cs="Calibri"/>
                <w:b/>
                <w:bCs/>
                <w:color w:val="4F81BD"/>
                <w:sz w:val="24"/>
                <w:szCs w:val="24"/>
              </w:rPr>
              <w:t>Terms of reference</w:t>
            </w:r>
          </w:p>
          <w:p w14:paraId="0A9AFA60" w14:textId="77777777" w:rsidR="00224922" w:rsidRDefault="00F40F50" w:rsidP="00224922">
            <w:pPr>
              <w:spacing w:before="40" w:after="40" w:line="240" w:lineRule="atLeast"/>
              <w:rPr>
                <w:rFonts w:ascii="Calibri" w:hAnsi="Calibri" w:cs="Calibri"/>
                <w:sz w:val="24"/>
                <w:szCs w:val="24"/>
              </w:rPr>
            </w:pPr>
            <w:r>
              <w:rPr>
                <w:rFonts w:ascii="Calibri" w:hAnsi="Calibri" w:cs="Calibri"/>
                <w:sz w:val="24"/>
                <w:szCs w:val="24"/>
              </w:rPr>
              <w:t>The Committee reviewed its Terms of Reference in July 2020, with the amendments agreed by the Board in September 2020.</w:t>
            </w:r>
            <w:r w:rsidR="003A5898">
              <w:rPr>
                <w:rFonts w:ascii="Calibri" w:hAnsi="Calibri" w:cs="Calibri"/>
                <w:sz w:val="24"/>
                <w:szCs w:val="24"/>
              </w:rPr>
              <w:t xml:space="preserve">  </w:t>
            </w:r>
            <w:r w:rsidR="00224922" w:rsidRPr="00450296">
              <w:rPr>
                <w:rFonts w:ascii="Calibri" w:hAnsi="Calibri" w:cs="Calibri"/>
                <w:sz w:val="24"/>
                <w:szCs w:val="24"/>
              </w:rPr>
              <w:t xml:space="preserve"> </w:t>
            </w:r>
          </w:p>
          <w:p w14:paraId="7683FE74" w14:textId="77777777" w:rsidR="003A5898" w:rsidRDefault="003A5898" w:rsidP="00224922">
            <w:pPr>
              <w:spacing w:before="40" w:after="40" w:line="240" w:lineRule="atLeast"/>
              <w:rPr>
                <w:rFonts w:ascii="Calibri" w:hAnsi="Calibri" w:cs="Calibri"/>
                <w:sz w:val="24"/>
                <w:szCs w:val="24"/>
              </w:rPr>
            </w:pPr>
          </w:p>
          <w:p w14:paraId="40C59037" w14:textId="77777777" w:rsidR="003A5898" w:rsidRDefault="003A5898" w:rsidP="00224922">
            <w:pPr>
              <w:spacing w:before="40" w:after="40" w:line="240" w:lineRule="atLeast"/>
              <w:rPr>
                <w:rFonts w:ascii="Calibri" w:hAnsi="Calibri" w:cs="Calibri"/>
                <w:sz w:val="24"/>
                <w:szCs w:val="24"/>
              </w:rPr>
            </w:pPr>
            <w:r>
              <w:rPr>
                <w:rFonts w:ascii="Calibri" w:hAnsi="Calibri" w:cs="Calibri"/>
                <w:sz w:val="24"/>
                <w:szCs w:val="24"/>
              </w:rPr>
              <w:t xml:space="preserve">The Committee has considered its workplan </w:t>
            </w:r>
            <w:r w:rsidR="00F40F50">
              <w:rPr>
                <w:rFonts w:ascii="Calibri" w:hAnsi="Calibri" w:cs="Calibri"/>
                <w:sz w:val="24"/>
                <w:szCs w:val="24"/>
              </w:rPr>
              <w:t>to ensure the</w:t>
            </w:r>
            <w:r>
              <w:rPr>
                <w:rFonts w:ascii="Calibri" w:hAnsi="Calibri" w:cs="Calibri"/>
                <w:sz w:val="24"/>
                <w:szCs w:val="24"/>
              </w:rPr>
              <w:t xml:space="preserve"> plan </w:t>
            </w:r>
            <w:r w:rsidR="00F40F50">
              <w:rPr>
                <w:rFonts w:ascii="Calibri" w:hAnsi="Calibri" w:cs="Calibri"/>
                <w:sz w:val="24"/>
                <w:szCs w:val="24"/>
              </w:rPr>
              <w:t>adheres to all aspects of the</w:t>
            </w:r>
            <w:r>
              <w:rPr>
                <w:rFonts w:ascii="Calibri" w:hAnsi="Calibri" w:cs="Calibri"/>
                <w:sz w:val="24"/>
                <w:szCs w:val="24"/>
              </w:rPr>
              <w:t xml:space="preserve"> Terms of Reference.</w:t>
            </w:r>
          </w:p>
          <w:p w14:paraId="763A735B" w14:textId="77777777" w:rsidR="003A5898" w:rsidRPr="00A47D11" w:rsidRDefault="003A5898" w:rsidP="00224922">
            <w:pPr>
              <w:spacing w:before="40" w:after="40" w:line="240" w:lineRule="atLeast"/>
              <w:rPr>
                <w:rFonts w:ascii="Calibri" w:hAnsi="Calibri" w:cs="Calibri"/>
                <w:sz w:val="24"/>
                <w:szCs w:val="24"/>
              </w:rPr>
            </w:pPr>
          </w:p>
        </w:tc>
      </w:tr>
      <w:tr w:rsidR="00101B16" w:rsidRPr="000273C9" w14:paraId="050955F9" w14:textId="77777777" w:rsidTr="00282D59">
        <w:trPr>
          <w:trHeight w:val="1332"/>
        </w:trPr>
        <w:tc>
          <w:tcPr>
            <w:tcW w:w="534" w:type="dxa"/>
            <w:vMerge/>
            <w:shd w:val="clear" w:color="auto" w:fill="auto"/>
          </w:tcPr>
          <w:p w14:paraId="2E5FCDEC" w14:textId="77777777" w:rsidR="00101B16" w:rsidRPr="000273C9" w:rsidRDefault="00101B16" w:rsidP="00161481">
            <w:pPr>
              <w:spacing w:before="40" w:after="40" w:line="240" w:lineRule="atLeast"/>
              <w:rPr>
                <w:rFonts w:ascii="Helvetica 65 Medium" w:hAnsi="Helvetica 65 Medium"/>
                <w:sz w:val="24"/>
                <w:szCs w:val="24"/>
              </w:rPr>
            </w:pPr>
          </w:p>
        </w:tc>
        <w:tc>
          <w:tcPr>
            <w:tcW w:w="567" w:type="dxa"/>
            <w:shd w:val="clear" w:color="auto" w:fill="auto"/>
          </w:tcPr>
          <w:p w14:paraId="2C6B91EE" w14:textId="77777777" w:rsidR="00011CD5" w:rsidRPr="001D0D64" w:rsidRDefault="00224922" w:rsidP="001D0D64">
            <w:pPr>
              <w:spacing w:before="40" w:after="40" w:line="240" w:lineRule="atLeast"/>
              <w:rPr>
                <w:rFonts w:ascii="Calibri" w:hAnsi="Calibri" w:cs="Calibri"/>
                <w:sz w:val="24"/>
                <w:szCs w:val="24"/>
              </w:rPr>
            </w:pPr>
            <w:r>
              <w:rPr>
                <w:rFonts w:ascii="Calibri" w:hAnsi="Calibri" w:cs="Calibri"/>
                <w:sz w:val="24"/>
                <w:szCs w:val="24"/>
              </w:rPr>
              <w:t>v.</w:t>
            </w:r>
          </w:p>
          <w:p w14:paraId="35CA1DF8" w14:textId="77777777" w:rsidR="001D0D64" w:rsidRDefault="001D0D64" w:rsidP="001D0D64">
            <w:pPr>
              <w:spacing w:before="40" w:after="40" w:line="240" w:lineRule="atLeast"/>
              <w:rPr>
                <w:rFonts w:ascii="Calibri" w:hAnsi="Calibri" w:cs="Calibri"/>
                <w:b/>
                <w:sz w:val="24"/>
                <w:szCs w:val="24"/>
              </w:rPr>
            </w:pPr>
          </w:p>
          <w:p w14:paraId="25EC8A03" w14:textId="77777777" w:rsidR="001D0D64" w:rsidRPr="00D11506" w:rsidRDefault="001D0D64" w:rsidP="001D0D64">
            <w:pPr>
              <w:spacing w:before="40" w:after="40" w:line="240" w:lineRule="atLeast"/>
              <w:rPr>
                <w:rFonts w:ascii="Calibri" w:hAnsi="Calibri" w:cs="Calibri"/>
                <w:b/>
                <w:sz w:val="24"/>
                <w:szCs w:val="24"/>
              </w:rPr>
            </w:pPr>
          </w:p>
        </w:tc>
        <w:tc>
          <w:tcPr>
            <w:tcW w:w="8788" w:type="dxa"/>
            <w:shd w:val="clear" w:color="auto" w:fill="auto"/>
          </w:tcPr>
          <w:p w14:paraId="7E776389" w14:textId="77777777" w:rsidR="00F13D25" w:rsidRPr="00BE4EBA" w:rsidRDefault="00647AD7" w:rsidP="001D0D64">
            <w:pPr>
              <w:spacing w:before="40" w:after="40" w:line="240" w:lineRule="atLeast"/>
              <w:rPr>
                <w:rStyle w:val="IntenseEmphasis"/>
                <w:rFonts w:ascii="Calibri" w:hAnsi="Calibri"/>
                <w:i w:val="0"/>
                <w:sz w:val="24"/>
                <w:szCs w:val="24"/>
              </w:rPr>
            </w:pPr>
            <w:r w:rsidRPr="00A47D11">
              <w:rPr>
                <w:rFonts w:ascii="Calibri" w:hAnsi="Calibri" w:cs="Calibri"/>
                <w:sz w:val="24"/>
                <w:szCs w:val="24"/>
              </w:rPr>
              <w:t xml:space="preserve"> </w:t>
            </w:r>
            <w:r w:rsidR="00F13D25" w:rsidRPr="00BE4EBA">
              <w:rPr>
                <w:rStyle w:val="IntenseEmphasis"/>
                <w:rFonts w:ascii="Calibri" w:hAnsi="Calibri"/>
                <w:i w:val="0"/>
                <w:sz w:val="24"/>
                <w:szCs w:val="24"/>
              </w:rPr>
              <w:t>Chair’s activity</w:t>
            </w:r>
          </w:p>
          <w:p w14:paraId="7F4494B1" w14:textId="21698039" w:rsidR="00C2705C" w:rsidRPr="00647AD7" w:rsidRDefault="00702488" w:rsidP="009D7506">
            <w:pPr>
              <w:rPr>
                <w:rFonts w:ascii="Calibri" w:hAnsi="Calibri" w:cs="Calibri"/>
                <w:sz w:val="24"/>
                <w:szCs w:val="24"/>
              </w:rPr>
            </w:pPr>
            <w:r>
              <w:rPr>
                <w:rFonts w:ascii="Calibri" w:hAnsi="Calibri" w:cs="Calibri"/>
                <w:sz w:val="24"/>
                <w:szCs w:val="24"/>
              </w:rPr>
              <w:t xml:space="preserve">Apart from the </w:t>
            </w:r>
            <w:r w:rsidR="00CF0841">
              <w:rPr>
                <w:rFonts w:ascii="Calibri" w:hAnsi="Calibri" w:cs="Calibri"/>
                <w:sz w:val="24"/>
                <w:szCs w:val="24"/>
              </w:rPr>
              <w:t xml:space="preserve">Committee </w:t>
            </w:r>
            <w:r>
              <w:rPr>
                <w:rFonts w:ascii="Calibri" w:hAnsi="Calibri" w:cs="Calibri"/>
                <w:sz w:val="24"/>
                <w:szCs w:val="24"/>
              </w:rPr>
              <w:t>Chair</w:t>
            </w:r>
            <w:r w:rsidR="00CF0841">
              <w:rPr>
                <w:rFonts w:ascii="Calibri" w:hAnsi="Calibri" w:cs="Calibri"/>
                <w:sz w:val="24"/>
                <w:szCs w:val="24"/>
              </w:rPr>
              <w:t>’</w:t>
            </w:r>
            <w:r>
              <w:rPr>
                <w:rFonts w:ascii="Calibri" w:hAnsi="Calibri" w:cs="Calibri"/>
                <w:sz w:val="24"/>
                <w:szCs w:val="24"/>
              </w:rPr>
              <w:t xml:space="preserve">s duties in relation to the </w:t>
            </w:r>
            <w:r w:rsidR="00CF0841">
              <w:rPr>
                <w:rFonts w:ascii="Calibri" w:hAnsi="Calibri" w:cs="Calibri"/>
                <w:sz w:val="24"/>
                <w:szCs w:val="24"/>
              </w:rPr>
              <w:t>C</w:t>
            </w:r>
            <w:r w:rsidR="00F44AB2">
              <w:rPr>
                <w:rFonts w:ascii="Calibri" w:hAnsi="Calibri" w:cs="Calibri"/>
                <w:sz w:val="24"/>
                <w:szCs w:val="24"/>
              </w:rPr>
              <w:t>ommittee, the Chair also led on the appointment of a new CEO</w:t>
            </w:r>
            <w:r w:rsidR="00CF0841">
              <w:rPr>
                <w:rFonts w:ascii="Calibri" w:hAnsi="Calibri" w:cs="Calibri"/>
                <w:sz w:val="24"/>
                <w:szCs w:val="24"/>
              </w:rPr>
              <w:t>.</w:t>
            </w:r>
          </w:p>
        </w:tc>
      </w:tr>
      <w:tr w:rsidR="00101B16" w:rsidRPr="000273C9" w14:paraId="051DCEA0" w14:textId="77777777" w:rsidTr="001D0D64">
        <w:tc>
          <w:tcPr>
            <w:tcW w:w="534" w:type="dxa"/>
            <w:vMerge/>
            <w:shd w:val="clear" w:color="auto" w:fill="auto"/>
          </w:tcPr>
          <w:p w14:paraId="5233D4BF" w14:textId="77777777" w:rsidR="00101B16" w:rsidRPr="000273C9" w:rsidRDefault="00101B16" w:rsidP="00161481">
            <w:pPr>
              <w:spacing w:before="40" w:after="40" w:line="240" w:lineRule="atLeast"/>
              <w:rPr>
                <w:rFonts w:ascii="Helvetica 65 Medium" w:hAnsi="Helvetica 65 Medium"/>
                <w:sz w:val="24"/>
                <w:szCs w:val="24"/>
              </w:rPr>
            </w:pPr>
          </w:p>
        </w:tc>
        <w:tc>
          <w:tcPr>
            <w:tcW w:w="567" w:type="dxa"/>
            <w:shd w:val="clear" w:color="auto" w:fill="auto"/>
          </w:tcPr>
          <w:p w14:paraId="2975926F" w14:textId="77777777" w:rsidR="00101B16" w:rsidRPr="001D0D64" w:rsidRDefault="00224922" w:rsidP="00224922">
            <w:pPr>
              <w:spacing w:before="40" w:after="40" w:line="240" w:lineRule="atLeast"/>
              <w:rPr>
                <w:rFonts w:ascii="Calibri" w:hAnsi="Calibri" w:cs="Calibri"/>
                <w:sz w:val="24"/>
                <w:szCs w:val="24"/>
              </w:rPr>
            </w:pPr>
            <w:r>
              <w:rPr>
                <w:rFonts w:ascii="Calibri" w:hAnsi="Calibri" w:cs="Calibri"/>
                <w:sz w:val="24"/>
                <w:szCs w:val="24"/>
              </w:rPr>
              <w:t>vi.</w:t>
            </w:r>
          </w:p>
        </w:tc>
        <w:tc>
          <w:tcPr>
            <w:tcW w:w="8788" w:type="dxa"/>
            <w:shd w:val="clear" w:color="auto" w:fill="auto"/>
          </w:tcPr>
          <w:p w14:paraId="1E7F6725" w14:textId="77777777" w:rsidR="005B4605" w:rsidRPr="00083C00" w:rsidRDefault="00647AD7" w:rsidP="005B4605">
            <w:pPr>
              <w:spacing w:before="40" w:after="40" w:line="240" w:lineRule="atLeast"/>
              <w:rPr>
                <w:rFonts w:ascii="Calibri" w:hAnsi="Calibri" w:cs="Calibri"/>
                <w:b/>
                <w:color w:val="4F81BD"/>
                <w:sz w:val="24"/>
                <w:szCs w:val="24"/>
              </w:rPr>
            </w:pPr>
            <w:r w:rsidRPr="00207E0B">
              <w:rPr>
                <w:rFonts w:ascii="Calibri" w:hAnsi="Calibri" w:cs="Calibri"/>
                <w:sz w:val="24"/>
                <w:szCs w:val="24"/>
              </w:rPr>
              <w:t xml:space="preserve"> </w:t>
            </w:r>
            <w:r w:rsidR="005B4605" w:rsidRPr="00083C00">
              <w:rPr>
                <w:rFonts w:ascii="Calibri" w:hAnsi="Calibri" w:cs="Calibri"/>
                <w:b/>
                <w:color w:val="4F81BD"/>
                <w:sz w:val="24"/>
                <w:szCs w:val="24"/>
              </w:rPr>
              <w:t xml:space="preserve">Regular </w:t>
            </w:r>
            <w:r w:rsidR="00233E1C">
              <w:rPr>
                <w:rFonts w:ascii="Calibri" w:hAnsi="Calibri" w:cs="Calibri"/>
                <w:b/>
                <w:color w:val="4F81BD"/>
                <w:sz w:val="24"/>
                <w:szCs w:val="24"/>
              </w:rPr>
              <w:t>r</w:t>
            </w:r>
            <w:r w:rsidR="005B4605" w:rsidRPr="00083C00">
              <w:rPr>
                <w:rFonts w:ascii="Calibri" w:hAnsi="Calibri" w:cs="Calibri"/>
                <w:b/>
                <w:color w:val="4F81BD"/>
                <w:sz w:val="24"/>
                <w:szCs w:val="24"/>
              </w:rPr>
              <w:t>eporting to the Board</w:t>
            </w:r>
          </w:p>
          <w:p w14:paraId="18A4C079" w14:textId="77777777" w:rsidR="005B4605" w:rsidRDefault="005B4605" w:rsidP="005B4605">
            <w:pPr>
              <w:spacing w:before="40" w:after="40" w:line="240" w:lineRule="atLeast"/>
              <w:rPr>
                <w:rFonts w:ascii="Calibri" w:hAnsi="Calibri" w:cs="Calibri"/>
                <w:sz w:val="24"/>
                <w:szCs w:val="24"/>
              </w:rPr>
            </w:pPr>
            <w:r w:rsidRPr="005B76AA">
              <w:rPr>
                <w:rFonts w:ascii="Calibri" w:hAnsi="Calibri" w:cs="Calibri"/>
                <w:sz w:val="24"/>
                <w:szCs w:val="24"/>
              </w:rPr>
              <w:t xml:space="preserve">The Committee provided </w:t>
            </w:r>
            <w:r w:rsidR="004E3EE6">
              <w:rPr>
                <w:rFonts w:ascii="Calibri" w:hAnsi="Calibri" w:cs="Calibri"/>
                <w:sz w:val="24"/>
                <w:szCs w:val="24"/>
              </w:rPr>
              <w:t>regular</w:t>
            </w:r>
            <w:r w:rsidR="004E3EE6" w:rsidRPr="005B76AA">
              <w:rPr>
                <w:rFonts w:ascii="Calibri" w:hAnsi="Calibri" w:cs="Calibri"/>
                <w:sz w:val="24"/>
                <w:szCs w:val="24"/>
              </w:rPr>
              <w:t xml:space="preserve"> </w:t>
            </w:r>
            <w:r w:rsidRPr="005B76AA">
              <w:rPr>
                <w:rFonts w:ascii="Calibri" w:hAnsi="Calibri" w:cs="Calibri"/>
                <w:sz w:val="24"/>
                <w:szCs w:val="24"/>
              </w:rPr>
              <w:t>feedback to the Board through its minutes and, as appropriate, oral updates</w:t>
            </w:r>
            <w:r w:rsidR="00233E1C">
              <w:rPr>
                <w:rFonts w:ascii="Calibri" w:hAnsi="Calibri" w:cs="Calibri"/>
                <w:sz w:val="24"/>
                <w:szCs w:val="24"/>
              </w:rPr>
              <w:t>.</w:t>
            </w:r>
          </w:p>
          <w:p w14:paraId="0378A71F" w14:textId="77777777" w:rsidR="009D7506" w:rsidRDefault="009D7506" w:rsidP="005B4605">
            <w:pPr>
              <w:spacing w:before="40" w:after="40" w:line="240" w:lineRule="atLeast"/>
              <w:rPr>
                <w:rFonts w:ascii="Calibri" w:hAnsi="Calibri" w:cs="Calibri"/>
                <w:sz w:val="24"/>
                <w:szCs w:val="24"/>
              </w:rPr>
            </w:pPr>
          </w:p>
          <w:p w14:paraId="46AFF67A" w14:textId="77777777" w:rsidR="005B4605" w:rsidRDefault="005B4605" w:rsidP="005B4605">
            <w:pPr>
              <w:ind w:right="426"/>
              <w:rPr>
                <w:rFonts w:ascii="Calibri" w:hAnsi="Calibri" w:cs="Calibri"/>
                <w:sz w:val="24"/>
                <w:szCs w:val="24"/>
              </w:rPr>
            </w:pPr>
            <w:r w:rsidRPr="005B76AA">
              <w:rPr>
                <w:rFonts w:ascii="Calibri" w:hAnsi="Calibri" w:cs="Calibri"/>
                <w:sz w:val="24"/>
                <w:szCs w:val="24"/>
              </w:rPr>
              <w:t xml:space="preserve">Throughout </w:t>
            </w:r>
            <w:r w:rsidR="00917F6F">
              <w:rPr>
                <w:rFonts w:ascii="Calibri" w:hAnsi="Calibri" w:cs="Calibri"/>
                <w:sz w:val="24"/>
                <w:szCs w:val="24"/>
              </w:rPr>
              <w:t>2020/2021</w:t>
            </w:r>
            <w:r>
              <w:rPr>
                <w:rFonts w:ascii="Calibri" w:hAnsi="Calibri" w:cs="Calibri"/>
                <w:sz w:val="24"/>
                <w:szCs w:val="24"/>
              </w:rPr>
              <w:t>,</w:t>
            </w:r>
            <w:r w:rsidRPr="005B76AA">
              <w:rPr>
                <w:rFonts w:ascii="Calibri" w:hAnsi="Calibri" w:cs="Calibri"/>
                <w:sz w:val="24"/>
                <w:szCs w:val="24"/>
              </w:rPr>
              <w:t xml:space="preserve"> the Committee continued to alert the Board to </w:t>
            </w:r>
            <w:r>
              <w:rPr>
                <w:rFonts w:ascii="Calibri" w:hAnsi="Calibri" w:cs="Calibri"/>
                <w:sz w:val="24"/>
                <w:szCs w:val="24"/>
              </w:rPr>
              <w:t xml:space="preserve">any new or increased </w:t>
            </w:r>
            <w:r w:rsidRPr="005B76AA">
              <w:rPr>
                <w:rFonts w:ascii="Calibri" w:hAnsi="Calibri" w:cs="Calibri"/>
                <w:sz w:val="24"/>
                <w:szCs w:val="24"/>
              </w:rPr>
              <w:t xml:space="preserve">risks facing the organisation, </w:t>
            </w:r>
            <w:r>
              <w:rPr>
                <w:rFonts w:ascii="Calibri" w:hAnsi="Calibri" w:cs="Calibri"/>
                <w:sz w:val="24"/>
                <w:szCs w:val="24"/>
              </w:rPr>
              <w:t xml:space="preserve">and it </w:t>
            </w:r>
            <w:r w:rsidRPr="005B76AA">
              <w:rPr>
                <w:rFonts w:ascii="Calibri" w:hAnsi="Calibri" w:cs="Calibri"/>
                <w:sz w:val="24"/>
                <w:szCs w:val="24"/>
              </w:rPr>
              <w:t xml:space="preserve">worked closely with the </w:t>
            </w:r>
            <w:r w:rsidR="000B398B">
              <w:rPr>
                <w:rFonts w:ascii="Calibri" w:hAnsi="Calibri" w:cs="Calibri"/>
                <w:sz w:val="24"/>
                <w:szCs w:val="24"/>
              </w:rPr>
              <w:t>Executive</w:t>
            </w:r>
            <w:r w:rsidRPr="005B76AA">
              <w:rPr>
                <w:rFonts w:ascii="Calibri" w:hAnsi="Calibri" w:cs="Calibri"/>
                <w:sz w:val="24"/>
                <w:szCs w:val="24"/>
              </w:rPr>
              <w:t xml:space="preserve"> to </w:t>
            </w:r>
            <w:r w:rsidR="00233E1C">
              <w:rPr>
                <w:rFonts w:ascii="Calibri" w:hAnsi="Calibri" w:cs="Calibri"/>
                <w:sz w:val="24"/>
                <w:szCs w:val="24"/>
              </w:rPr>
              <w:t>gain assurance</w:t>
            </w:r>
            <w:r w:rsidRPr="005B76AA">
              <w:rPr>
                <w:rFonts w:ascii="Calibri" w:hAnsi="Calibri" w:cs="Calibri"/>
                <w:sz w:val="24"/>
                <w:szCs w:val="24"/>
              </w:rPr>
              <w:t xml:space="preserve"> that </w:t>
            </w:r>
            <w:r w:rsidR="00171D28">
              <w:rPr>
                <w:rFonts w:ascii="Calibri" w:hAnsi="Calibri" w:cs="Calibri"/>
                <w:sz w:val="24"/>
                <w:szCs w:val="24"/>
              </w:rPr>
              <w:t xml:space="preserve">in all cases </w:t>
            </w:r>
            <w:r>
              <w:rPr>
                <w:rFonts w:ascii="Calibri" w:hAnsi="Calibri" w:cs="Calibri"/>
                <w:sz w:val="24"/>
                <w:szCs w:val="24"/>
              </w:rPr>
              <w:t xml:space="preserve">the </w:t>
            </w:r>
            <w:r w:rsidRPr="005B76AA">
              <w:rPr>
                <w:rFonts w:ascii="Calibri" w:hAnsi="Calibri" w:cs="Calibri"/>
                <w:sz w:val="24"/>
                <w:szCs w:val="24"/>
              </w:rPr>
              <w:t>risk</w:t>
            </w:r>
            <w:r>
              <w:rPr>
                <w:rFonts w:ascii="Calibri" w:hAnsi="Calibri" w:cs="Calibri"/>
                <w:sz w:val="24"/>
                <w:szCs w:val="24"/>
              </w:rPr>
              <w:t>s</w:t>
            </w:r>
            <w:r w:rsidRPr="005B76AA">
              <w:rPr>
                <w:rFonts w:ascii="Calibri" w:hAnsi="Calibri" w:cs="Calibri"/>
                <w:sz w:val="24"/>
                <w:szCs w:val="24"/>
              </w:rPr>
              <w:t xml:space="preserve"> w</w:t>
            </w:r>
            <w:r>
              <w:rPr>
                <w:rFonts w:ascii="Calibri" w:hAnsi="Calibri" w:cs="Calibri"/>
                <w:sz w:val="24"/>
                <w:szCs w:val="24"/>
              </w:rPr>
              <w:t>ere</w:t>
            </w:r>
            <w:r w:rsidRPr="005B76AA">
              <w:rPr>
                <w:rFonts w:ascii="Calibri" w:hAnsi="Calibri" w:cs="Calibri"/>
                <w:sz w:val="24"/>
                <w:szCs w:val="24"/>
              </w:rPr>
              <w:t xml:space="preserve"> managed appropriately. </w:t>
            </w:r>
            <w:r w:rsidR="000B398B">
              <w:rPr>
                <w:rFonts w:ascii="Calibri" w:hAnsi="Calibri" w:cs="Calibri"/>
                <w:sz w:val="24"/>
                <w:szCs w:val="24"/>
              </w:rPr>
              <w:t xml:space="preserve"> </w:t>
            </w:r>
          </w:p>
          <w:p w14:paraId="678F7238" w14:textId="77777777" w:rsidR="00C2705C" w:rsidRPr="009D7506" w:rsidRDefault="00C2705C" w:rsidP="009D7506">
            <w:pPr>
              <w:ind w:right="426"/>
              <w:rPr>
                <w:rFonts w:ascii="Calibri" w:hAnsi="Calibri" w:cs="Calibri"/>
              </w:rPr>
            </w:pPr>
          </w:p>
        </w:tc>
      </w:tr>
      <w:tr w:rsidR="00062314" w:rsidRPr="000273C9" w14:paraId="09CFF48A" w14:textId="77777777" w:rsidTr="001D0D64">
        <w:tc>
          <w:tcPr>
            <w:tcW w:w="534" w:type="dxa"/>
            <w:shd w:val="clear" w:color="auto" w:fill="auto"/>
          </w:tcPr>
          <w:p w14:paraId="638C8266" w14:textId="77777777" w:rsidR="00062314" w:rsidRPr="00AE18CB" w:rsidRDefault="00062314" w:rsidP="00161481">
            <w:pPr>
              <w:spacing w:before="40" w:after="40" w:line="240" w:lineRule="atLeast"/>
              <w:rPr>
                <w:rFonts w:ascii="Calibri" w:hAnsi="Calibri" w:cs="Calibri"/>
                <w:sz w:val="24"/>
                <w:szCs w:val="24"/>
              </w:rPr>
            </w:pPr>
          </w:p>
        </w:tc>
        <w:tc>
          <w:tcPr>
            <w:tcW w:w="9355" w:type="dxa"/>
            <w:gridSpan w:val="2"/>
            <w:shd w:val="clear" w:color="auto" w:fill="auto"/>
          </w:tcPr>
          <w:p w14:paraId="20737EB0" w14:textId="76AEEB1C" w:rsidR="00F4298C" w:rsidRPr="00AE18CB" w:rsidRDefault="00F4298C" w:rsidP="00F6363A">
            <w:pPr>
              <w:tabs>
                <w:tab w:val="left" w:pos="3375"/>
              </w:tabs>
              <w:spacing w:before="40" w:after="40" w:line="240" w:lineRule="atLeast"/>
              <w:rPr>
                <w:rFonts w:ascii="Calibri" w:hAnsi="Calibri" w:cs="Calibri"/>
                <w:sz w:val="24"/>
                <w:szCs w:val="24"/>
              </w:rPr>
            </w:pPr>
          </w:p>
        </w:tc>
      </w:tr>
      <w:tr w:rsidR="00D11506" w:rsidRPr="000273C9" w14:paraId="565BC551" w14:textId="77777777" w:rsidTr="001D0D64">
        <w:tc>
          <w:tcPr>
            <w:tcW w:w="534" w:type="dxa"/>
            <w:shd w:val="clear" w:color="auto" w:fill="auto"/>
          </w:tcPr>
          <w:p w14:paraId="586AE30D" w14:textId="77777777" w:rsidR="00D11506" w:rsidRDefault="00D11506" w:rsidP="00161481">
            <w:pPr>
              <w:spacing w:before="40" w:after="40" w:line="240" w:lineRule="atLeast"/>
              <w:rPr>
                <w:rFonts w:ascii="Calibri" w:hAnsi="Calibri" w:cs="Calibri"/>
                <w:b/>
                <w:color w:val="4F81BD"/>
                <w:sz w:val="24"/>
                <w:szCs w:val="24"/>
              </w:rPr>
            </w:pPr>
          </w:p>
        </w:tc>
        <w:tc>
          <w:tcPr>
            <w:tcW w:w="9355" w:type="dxa"/>
            <w:gridSpan w:val="2"/>
            <w:shd w:val="clear" w:color="auto" w:fill="auto"/>
          </w:tcPr>
          <w:p w14:paraId="17955147" w14:textId="77777777" w:rsidR="00D11506" w:rsidRDefault="00D11506" w:rsidP="00161481">
            <w:pPr>
              <w:spacing w:before="40" w:after="40" w:line="240" w:lineRule="atLeast"/>
              <w:rPr>
                <w:rFonts w:ascii="Calibri" w:hAnsi="Calibri" w:cs="Calibri"/>
                <w:b/>
                <w:color w:val="4F81BD"/>
                <w:sz w:val="24"/>
                <w:szCs w:val="24"/>
              </w:rPr>
            </w:pPr>
          </w:p>
        </w:tc>
      </w:tr>
      <w:tr w:rsidR="00ED2874" w:rsidRPr="000273C9" w14:paraId="66595BC9" w14:textId="77777777" w:rsidTr="001D0D64">
        <w:tc>
          <w:tcPr>
            <w:tcW w:w="534" w:type="dxa"/>
            <w:vMerge w:val="restart"/>
            <w:shd w:val="clear" w:color="auto" w:fill="auto"/>
          </w:tcPr>
          <w:p w14:paraId="19AD9AEE" w14:textId="709E8BCC" w:rsidR="00ED2874" w:rsidRPr="00F4103E" w:rsidRDefault="00CF0841" w:rsidP="00161481">
            <w:pPr>
              <w:spacing w:before="40" w:after="40" w:line="240" w:lineRule="atLeast"/>
              <w:rPr>
                <w:rFonts w:ascii="Calibri" w:hAnsi="Calibri" w:cs="Calibri"/>
                <w:b/>
                <w:color w:val="4F81BD"/>
                <w:sz w:val="24"/>
                <w:szCs w:val="24"/>
              </w:rPr>
            </w:pPr>
            <w:r>
              <w:rPr>
                <w:rFonts w:ascii="Calibri" w:hAnsi="Calibri" w:cs="Calibri"/>
                <w:b/>
                <w:color w:val="4F81BD"/>
                <w:sz w:val="24"/>
                <w:szCs w:val="24"/>
              </w:rPr>
              <w:t>5</w:t>
            </w:r>
            <w:r w:rsidR="00ED2874" w:rsidRPr="00F4103E">
              <w:rPr>
                <w:rFonts w:ascii="Calibri" w:hAnsi="Calibri" w:cs="Calibri"/>
                <w:b/>
                <w:color w:val="4F81BD"/>
                <w:sz w:val="24"/>
                <w:szCs w:val="24"/>
              </w:rPr>
              <w:t xml:space="preserve">. </w:t>
            </w:r>
          </w:p>
        </w:tc>
        <w:tc>
          <w:tcPr>
            <w:tcW w:w="9355" w:type="dxa"/>
            <w:gridSpan w:val="2"/>
            <w:shd w:val="clear" w:color="auto" w:fill="auto"/>
          </w:tcPr>
          <w:p w14:paraId="341D6285" w14:textId="77777777" w:rsidR="00ED2874" w:rsidRPr="00F4103E" w:rsidRDefault="00C96274" w:rsidP="00161481">
            <w:pPr>
              <w:spacing w:before="40" w:after="40" w:line="240" w:lineRule="atLeast"/>
              <w:rPr>
                <w:rFonts w:ascii="Calibri" w:hAnsi="Calibri" w:cs="Calibri"/>
                <w:b/>
                <w:color w:val="4F81BD"/>
                <w:sz w:val="24"/>
                <w:szCs w:val="24"/>
              </w:rPr>
            </w:pPr>
            <w:r>
              <w:rPr>
                <w:rFonts w:ascii="Calibri" w:hAnsi="Calibri" w:cs="Calibri"/>
                <w:b/>
                <w:color w:val="4F81BD"/>
                <w:sz w:val="24"/>
                <w:szCs w:val="24"/>
              </w:rPr>
              <w:t>Risk</w:t>
            </w:r>
            <w:r w:rsidR="00ED2874" w:rsidRPr="00F4103E">
              <w:rPr>
                <w:rFonts w:ascii="Calibri" w:hAnsi="Calibri" w:cs="Calibri"/>
                <w:b/>
                <w:color w:val="4F81BD"/>
                <w:sz w:val="24"/>
                <w:szCs w:val="24"/>
              </w:rPr>
              <w:t xml:space="preserve"> Implications</w:t>
            </w:r>
          </w:p>
        </w:tc>
      </w:tr>
      <w:tr w:rsidR="00ED2874" w:rsidRPr="000273C9" w14:paraId="593CC525" w14:textId="77777777" w:rsidTr="001D0D64">
        <w:tc>
          <w:tcPr>
            <w:tcW w:w="534" w:type="dxa"/>
            <w:vMerge/>
            <w:shd w:val="clear" w:color="auto" w:fill="auto"/>
          </w:tcPr>
          <w:p w14:paraId="0D231533" w14:textId="77777777" w:rsidR="00ED2874" w:rsidRPr="000273C9" w:rsidRDefault="00ED2874" w:rsidP="00161481">
            <w:pPr>
              <w:spacing w:before="40" w:after="40" w:line="240" w:lineRule="atLeast"/>
              <w:rPr>
                <w:rFonts w:ascii="Helvetica 65 Medium" w:hAnsi="Helvetica 65 Medium"/>
                <w:sz w:val="24"/>
                <w:szCs w:val="24"/>
              </w:rPr>
            </w:pPr>
          </w:p>
        </w:tc>
        <w:tc>
          <w:tcPr>
            <w:tcW w:w="9355" w:type="dxa"/>
            <w:gridSpan w:val="2"/>
            <w:shd w:val="clear" w:color="auto" w:fill="auto"/>
          </w:tcPr>
          <w:p w14:paraId="15F0FD94" w14:textId="77777777" w:rsidR="00ED2874" w:rsidRPr="000273C9" w:rsidRDefault="005B4605" w:rsidP="005B4605">
            <w:pPr>
              <w:pStyle w:val="Default"/>
            </w:pPr>
            <w:r w:rsidRPr="002D4EC1">
              <w:t>Risks are identified within the report.</w:t>
            </w:r>
          </w:p>
        </w:tc>
      </w:tr>
      <w:tr w:rsidR="00306131" w:rsidRPr="000273C9" w14:paraId="4B325106" w14:textId="77777777" w:rsidTr="001D0D64">
        <w:tc>
          <w:tcPr>
            <w:tcW w:w="534" w:type="dxa"/>
            <w:shd w:val="clear" w:color="auto" w:fill="auto"/>
          </w:tcPr>
          <w:p w14:paraId="0B6406FE" w14:textId="77777777" w:rsidR="00306131" w:rsidRPr="00AE18CB" w:rsidRDefault="00306131" w:rsidP="00161481">
            <w:pPr>
              <w:spacing w:before="40" w:after="40" w:line="240" w:lineRule="atLeast"/>
              <w:rPr>
                <w:rFonts w:ascii="Calibri" w:hAnsi="Calibri" w:cs="Calibri"/>
                <w:sz w:val="24"/>
                <w:szCs w:val="24"/>
              </w:rPr>
            </w:pPr>
          </w:p>
        </w:tc>
        <w:tc>
          <w:tcPr>
            <w:tcW w:w="9355" w:type="dxa"/>
            <w:gridSpan w:val="2"/>
            <w:shd w:val="clear" w:color="auto" w:fill="auto"/>
          </w:tcPr>
          <w:p w14:paraId="176CFCFE" w14:textId="77777777" w:rsidR="00306131" w:rsidRPr="00AE18CB" w:rsidRDefault="00306131" w:rsidP="00161481">
            <w:pPr>
              <w:spacing w:before="40" w:after="40" w:line="240" w:lineRule="atLeast"/>
              <w:rPr>
                <w:rFonts w:ascii="Calibri" w:hAnsi="Calibri" w:cs="Calibri"/>
                <w:sz w:val="24"/>
                <w:szCs w:val="24"/>
              </w:rPr>
            </w:pPr>
          </w:p>
        </w:tc>
      </w:tr>
      <w:tr w:rsidR="00F353A7" w:rsidRPr="000273C9" w14:paraId="0FC81DCD" w14:textId="77777777" w:rsidTr="001D0D64">
        <w:tc>
          <w:tcPr>
            <w:tcW w:w="534" w:type="dxa"/>
            <w:vMerge w:val="restart"/>
            <w:shd w:val="clear" w:color="auto" w:fill="auto"/>
          </w:tcPr>
          <w:p w14:paraId="645B2839" w14:textId="0D6601E1" w:rsidR="00F353A7" w:rsidRPr="00F4103E" w:rsidRDefault="00CF0841" w:rsidP="00161481">
            <w:pPr>
              <w:spacing w:before="40" w:after="40" w:line="240" w:lineRule="atLeast"/>
              <w:rPr>
                <w:rFonts w:ascii="Calibri" w:hAnsi="Calibri" w:cs="Calibri"/>
                <w:b/>
                <w:color w:val="4F81BD"/>
                <w:sz w:val="24"/>
                <w:szCs w:val="24"/>
              </w:rPr>
            </w:pPr>
            <w:r>
              <w:rPr>
                <w:rFonts w:ascii="Calibri" w:hAnsi="Calibri" w:cs="Calibri"/>
                <w:b/>
                <w:color w:val="4F81BD"/>
                <w:sz w:val="24"/>
                <w:szCs w:val="24"/>
              </w:rPr>
              <w:t>6</w:t>
            </w:r>
            <w:r w:rsidR="00C271B8" w:rsidRPr="00F4103E">
              <w:rPr>
                <w:rFonts w:ascii="Calibri" w:hAnsi="Calibri" w:cs="Calibri"/>
                <w:b/>
                <w:color w:val="4F81BD"/>
                <w:sz w:val="24"/>
                <w:szCs w:val="24"/>
              </w:rPr>
              <w:t xml:space="preserve">. </w:t>
            </w:r>
          </w:p>
        </w:tc>
        <w:tc>
          <w:tcPr>
            <w:tcW w:w="9355" w:type="dxa"/>
            <w:gridSpan w:val="2"/>
            <w:shd w:val="clear" w:color="auto" w:fill="auto"/>
          </w:tcPr>
          <w:p w14:paraId="1822F2C5" w14:textId="77777777" w:rsidR="00F353A7" w:rsidRPr="00F4103E" w:rsidRDefault="00C271B8" w:rsidP="00161481">
            <w:pPr>
              <w:spacing w:before="40" w:after="40" w:line="240" w:lineRule="atLeast"/>
              <w:rPr>
                <w:rFonts w:ascii="Calibri" w:hAnsi="Calibri" w:cs="Calibri"/>
                <w:b/>
                <w:color w:val="4F81BD"/>
                <w:sz w:val="24"/>
                <w:szCs w:val="24"/>
              </w:rPr>
            </w:pPr>
            <w:r w:rsidRPr="00F4103E">
              <w:rPr>
                <w:rFonts w:ascii="Calibri" w:hAnsi="Calibri" w:cs="Calibri"/>
                <w:b/>
                <w:color w:val="4F81BD"/>
                <w:sz w:val="24"/>
                <w:szCs w:val="24"/>
              </w:rPr>
              <w:t>Communication</w:t>
            </w:r>
          </w:p>
        </w:tc>
      </w:tr>
      <w:tr w:rsidR="00F353A7" w:rsidRPr="000273C9" w14:paraId="7FA9949E" w14:textId="77777777" w:rsidTr="001D0D64">
        <w:tc>
          <w:tcPr>
            <w:tcW w:w="534" w:type="dxa"/>
            <w:vMerge/>
            <w:shd w:val="clear" w:color="auto" w:fill="auto"/>
          </w:tcPr>
          <w:p w14:paraId="0B2BF7B9" w14:textId="77777777" w:rsidR="00F353A7" w:rsidRPr="000273C9" w:rsidRDefault="00F353A7" w:rsidP="00161481">
            <w:pPr>
              <w:spacing w:before="40" w:after="40" w:line="240" w:lineRule="atLeast"/>
              <w:rPr>
                <w:rFonts w:ascii="Helvetica 65 Medium" w:hAnsi="Helvetica 65 Medium"/>
                <w:sz w:val="24"/>
                <w:szCs w:val="24"/>
              </w:rPr>
            </w:pPr>
          </w:p>
        </w:tc>
        <w:tc>
          <w:tcPr>
            <w:tcW w:w="9355" w:type="dxa"/>
            <w:gridSpan w:val="2"/>
            <w:shd w:val="clear" w:color="auto" w:fill="auto"/>
          </w:tcPr>
          <w:p w14:paraId="30CB3B2A" w14:textId="77777777" w:rsidR="00010196" w:rsidRPr="000273C9" w:rsidRDefault="005B4605" w:rsidP="001D75B7">
            <w:pPr>
              <w:spacing w:before="40" w:after="40" w:line="240" w:lineRule="atLeast"/>
              <w:rPr>
                <w:rFonts w:ascii="Calibri" w:hAnsi="Calibri" w:cs="Calibri"/>
                <w:sz w:val="24"/>
                <w:szCs w:val="24"/>
              </w:rPr>
            </w:pPr>
            <w:r w:rsidRPr="00810B74">
              <w:rPr>
                <w:rFonts w:ascii="Calibri" w:hAnsi="Calibri" w:cs="Calibri"/>
                <w:bCs/>
                <w:sz w:val="24"/>
                <w:szCs w:val="24"/>
              </w:rPr>
              <w:t>The Committee prepares an annual report for the Board to assist the Board in carrying out its oversight responsibilities. The annual report also gives the Board an opportunity to explore the Committee’s work and identify any areas of concern.</w:t>
            </w:r>
          </w:p>
        </w:tc>
      </w:tr>
      <w:tr w:rsidR="00306131" w:rsidRPr="000273C9" w14:paraId="23E4B961" w14:textId="77777777" w:rsidTr="001D0D64">
        <w:tc>
          <w:tcPr>
            <w:tcW w:w="534" w:type="dxa"/>
            <w:shd w:val="clear" w:color="auto" w:fill="auto"/>
          </w:tcPr>
          <w:p w14:paraId="27B773DA" w14:textId="77777777" w:rsidR="00306131" w:rsidRPr="00AE18CB" w:rsidRDefault="00306131" w:rsidP="00161481">
            <w:pPr>
              <w:spacing w:before="40" w:after="40" w:line="240" w:lineRule="atLeast"/>
              <w:rPr>
                <w:rFonts w:ascii="Calibri" w:hAnsi="Calibri" w:cs="Calibri"/>
                <w:sz w:val="24"/>
                <w:szCs w:val="24"/>
              </w:rPr>
            </w:pPr>
          </w:p>
        </w:tc>
        <w:tc>
          <w:tcPr>
            <w:tcW w:w="9355" w:type="dxa"/>
            <w:gridSpan w:val="2"/>
            <w:shd w:val="clear" w:color="auto" w:fill="auto"/>
          </w:tcPr>
          <w:p w14:paraId="43E42ED0" w14:textId="77777777" w:rsidR="00306131" w:rsidRPr="00AE18CB" w:rsidRDefault="00306131" w:rsidP="00161481">
            <w:pPr>
              <w:spacing w:before="40" w:after="40" w:line="240" w:lineRule="atLeast"/>
              <w:rPr>
                <w:rFonts w:ascii="Calibri" w:hAnsi="Calibri" w:cs="Calibri"/>
                <w:sz w:val="24"/>
                <w:szCs w:val="24"/>
              </w:rPr>
            </w:pPr>
          </w:p>
        </w:tc>
      </w:tr>
      <w:tr w:rsidR="005B4605" w:rsidRPr="000273C9" w14:paraId="7ABFC121" w14:textId="77777777" w:rsidTr="001D0D64">
        <w:tc>
          <w:tcPr>
            <w:tcW w:w="534" w:type="dxa"/>
            <w:shd w:val="clear" w:color="auto" w:fill="auto"/>
          </w:tcPr>
          <w:p w14:paraId="18A89396" w14:textId="1D62D674" w:rsidR="005B4605" w:rsidRPr="00AD3129" w:rsidRDefault="00CF0841" w:rsidP="00161481">
            <w:pPr>
              <w:spacing w:before="40" w:after="40" w:line="240" w:lineRule="atLeast"/>
              <w:rPr>
                <w:rStyle w:val="IntenseEmphasis"/>
                <w:rFonts w:ascii="Calibri" w:hAnsi="Calibri"/>
                <w:i w:val="0"/>
                <w:sz w:val="24"/>
                <w:szCs w:val="24"/>
              </w:rPr>
            </w:pPr>
            <w:r>
              <w:rPr>
                <w:rStyle w:val="IntenseEmphasis"/>
                <w:rFonts w:ascii="Calibri" w:hAnsi="Calibri"/>
                <w:i w:val="0"/>
                <w:sz w:val="24"/>
                <w:szCs w:val="24"/>
              </w:rPr>
              <w:lastRenderedPageBreak/>
              <w:t>7</w:t>
            </w:r>
            <w:r w:rsidR="005B4605" w:rsidRPr="00AD3129">
              <w:rPr>
                <w:rStyle w:val="IntenseEmphasis"/>
                <w:rFonts w:ascii="Calibri" w:hAnsi="Calibri"/>
                <w:i w:val="0"/>
                <w:sz w:val="24"/>
                <w:szCs w:val="24"/>
              </w:rPr>
              <w:t>.</w:t>
            </w:r>
          </w:p>
        </w:tc>
        <w:tc>
          <w:tcPr>
            <w:tcW w:w="9355" w:type="dxa"/>
            <w:gridSpan w:val="2"/>
            <w:shd w:val="clear" w:color="auto" w:fill="auto"/>
          </w:tcPr>
          <w:p w14:paraId="163290B3" w14:textId="77777777" w:rsidR="005B4605" w:rsidRDefault="005B4605" w:rsidP="005B4605">
            <w:pPr>
              <w:spacing w:before="40" w:after="40" w:line="240" w:lineRule="atLeast"/>
              <w:rPr>
                <w:rFonts w:ascii="Calibri" w:hAnsi="Calibri" w:cs="Calibri"/>
                <w:b/>
                <w:color w:val="4F81BD"/>
                <w:sz w:val="24"/>
                <w:szCs w:val="24"/>
              </w:rPr>
            </w:pPr>
            <w:r w:rsidRPr="00F4103E">
              <w:rPr>
                <w:rFonts w:ascii="Calibri" w:hAnsi="Calibri" w:cs="Calibri"/>
                <w:b/>
                <w:color w:val="4F81BD"/>
                <w:sz w:val="24"/>
                <w:szCs w:val="24"/>
              </w:rPr>
              <w:t>Equality and Diversity Implications</w:t>
            </w:r>
          </w:p>
          <w:p w14:paraId="2CE5E723" w14:textId="77777777" w:rsidR="005B4605" w:rsidRDefault="000B1255" w:rsidP="005B4605">
            <w:pPr>
              <w:spacing w:before="40" w:after="40" w:line="240" w:lineRule="atLeast"/>
              <w:rPr>
                <w:rFonts w:ascii="Calibri" w:hAnsi="Calibri" w:cs="Calibri"/>
                <w:sz w:val="24"/>
                <w:szCs w:val="24"/>
              </w:rPr>
            </w:pPr>
            <w:r>
              <w:rPr>
                <w:rFonts w:ascii="Calibri" w:hAnsi="Calibri" w:cs="Calibri"/>
                <w:sz w:val="24"/>
                <w:szCs w:val="24"/>
              </w:rPr>
              <w:t>None identified</w:t>
            </w:r>
            <w:r w:rsidR="00E92A90">
              <w:rPr>
                <w:rFonts w:ascii="Calibri" w:hAnsi="Calibri" w:cs="Calibri"/>
                <w:sz w:val="24"/>
                <w:szCs w:val="24"/>
              </w:rPr>
              <w:t xml:space="preserve"> in direct relation to this report</w:t>
            </w:r>
            <w:r>
              <w:rPr>
                <w:rFonts w:ascii="Calibri" w:hAnsi="Calibri" w:cs="Calibri"/>
                <w:sz w:val="24"/>
                <w:szCs w:val="24"/>
              </w:rPr>
              <w:t>.</w:t>
            </w:r>
            <w:r w:rsidR="00E92A90">
              <w:rPr>
                <w:rFonts w:ascii="Calibri" w:hAnsi="Calibri" w:cs="Calibri"/>
                <w:sz w:val="24"/>
                <w:szCs w:val="24"/>
              </w:rPr>
              <w:t xml:space="preserve">  The Committee does however receive regular reports </w:t>
            </w:r>
            <w:r w:rsidR="00F40F50">
              <w:rPr>
                <w:rFonts w:ascii="Calibri" w:hAnsi="Calibri" w:cs="Calibri"/>
                <w:sz w:val="24"/>
                <w:szCs w:val="24"/>
              </w:rPr>
              <w:t>on EDI in respect of the staff team and applicants.</w:t>
            </w:r>
          </w:p>
          <w:p w14:paraId="0AE107D4" w14:textId="77777777" w:rsidR="00450296" w:rsidRDefault="00450296" w:rsidP="005B4605">
            <w:pPr>
              <w:spacing w:before="40" w:after="40" w:line="240" w:lineRule="atLeast"/>
              <w:rPr>
                <w:rFonts w:ascii="Calibri" w:hAnsi="Calibri" w:cs="Calibri"/>
                <w:sz w:val="24"/>
                <w:szCs w:val="24"/>
              </w:rPr>
            </w:pPr>
          </w:p>
          <w:p w14:paraId="75F608E2" w14:textId="77777777" w:rsidR="00450296" w:rsidRPr="00AE18CB" w:rsidRDefault="00450296" w:rsidP="005B4605">
            <w:pPr>
              <w:spacing w:before="40" w:after="40" w:line="240" w:lineRule="atLeast"/>
              <w:rPr>
                <w:rFonts w:ascii="Calibri" w:hAnsi="Calibri" w:cs="Calibri"/>
                <w:sz w:val="24"/>
                <w:szCs w:val="24"/>
              </w:rPr>
            </w:pPr>
          </w:p>
        </w:tc>
      </w:tr>
    </w:tbl>
    <w:p w14:paraId="29611915" w14:textId="77777777" w:rsidR="00AC1ECA" w:rsidRDefault="00AC1ECA" w:rsidP="00B41D6A">
      <w:pPr>
        <w:spacing w:before="40" w:after="40" w:line="240" w:lineRule="atLeast"/>
        <w:rPr>
          <w:rFonts w:ascii="Helvetica 65 Medium" w:hAnsi="Helvetica 65 Medium"/>
          <w:sz w:val="24"/>
          <w:szCs w:val="24"/>
        </w:rPr>
      </w:pPr>
    </w:p>
    <w:p w14:paraId="0D0C0B7B" w14:textId="77777777" w:rsidR="00450296" w:rsidRDefault="00450296" w:rsidP="00B41D6A">
      <w:pPr>
        <w:spacing w:before="40" w:after="40" w:line="240" w:lineRule="atLeast"/>
        <w:rPr>
          <w:rFonts w:ascii="Helvetica 65 Medium" w:hAnsi="Helvetica 65 Medium"/>
          <w:sz w:val="24"/>
          <w:szCs w:val="24"/>
        </w:rPr>
        <w:sectPr w:rsidR="00450296" w:rsidSect="00653153">
          <w:headerReference w:type="default" r:id="rId9"/>
          <w:footerReference w:type="default" r:id="rId10"/>
          <w:footerReference w:type="first" r:id="rId11"/>
          <w:pgSz w:w="11906" w:h="16838" w:code="9"/>
          <w:pgMar w:top="567" w:right="1134" w:bottom="1134" w:left="1134" w:header="720" w:footer="285" w:gutter="0"/>
          <w:cols w:space="720"/>
          <w:titlePg/>
        </w:sectPr>
      </w:pPr>
    </w:p>
    <w:p w14:paraId="337B1320" w14:textId="16483079" w:rsidR="00890CA7" w:rsidRDefault="00890CA7" w:rsidP="00450296">
      <w:pPr>
        <w:rPr>
          <w:b/>
        </w:rPr>
      </w:pPr>
    </w:p>
    <w:p w14:paraId="6A785038" w14:textId="24AA7260" w:rsidR="00CF0841" w:rsidRPr="00CF0841" w:rsidRDefault="00CF0841" w:rsidP="00CF0841"/>
    <w:p w14:paraId="39F29448" w14:textId="2A2F6BF8" w:rsidR="00CF0841" w:rsidRPr="00CF0841" w:rsidRDefault="00CF0841" w:rsidP="00CF0841"/>
    <w:p w14:paraId="784DCC74" w14:textId="5BA9634B" w:rsidR="00CF0841" w:rsidRDefault="00CF0841" w:rsidP="00CF0841">
      <w:pPr>
        <w:rPr>
          <w:b/>
        </w:rPr>
      </w:pPr>
    </w:p>
    <w:p w14:paraId="66C087DF" w14:textId="77777777" w:rsidR="00CF0841" w:rsidRPr="00CF0841" w:rsidRDefault="00CF0841" w:rsidP="00CF0841">
      <w:pPr>
        <w:spacing w:after="160" w:line="259" w:lineRule="auto"/>
        <w:rPr>
          <w:rFonts w:ascii="Calibri" w:eastAsia="Calibri" w:hAnsi="Calibri"/>
          <w:b/>
          <w:bCs/>
          <w:sz w:val="22"/>
          <w:szCs w:val="22"/>
        </w:rPr>
      </w:pPr>
      <w:r w:rsidRPr="00CF0841">
        <w:rPr>
          <w:rFonts w:ascii="Calibri" w:eastAsia="Calibri" w:hAnsi="Calibri"/>
          <w:b/>
          <w:bCs/>
          <w:sz w:val="22"/>
          <w:szCs w:val="22"/>
        </w:rPr>
        <w:t>Remuneration and Appointments Committee</w:t>
      </w:r>
    </w:p>
    <w:p w14:paraId="03296AE7" w14:textId="77777777" w:rsidR="00CF0841" w:rsidRPr="00CF0841" w:rsidRDefault="00CF0841" w:rsidP="00CF0841">
      <w:pPr>
        <w:spacing w:after="160" w:line="259" w:lineRule="auto"/>
        <w:rPr>
          <w:rFonts w:ascii="Calibri" w:eastAsia="Calibri" w:hAnsi="Calibri"/>
          <w:sz w:val="22"/>
          <w:szCs w:val="22"/>
        </w:rPr>
      </w:pPr>
    </w:p>
    <w:tbl>
      <w:tblPr>
        <w:tblStyle w:val="TableGrid1"/>
        <w:tblW w:w="0" w:type="auto"/>
        <w:tblLook w:val="04A0" w:firstRow="1" w:lastRow="0" w:firstColumn="1" w:lastColumn="0" w:noHBand="0" w:noVBand="1"/>
      </w:tblPr>
      <w:tblGrid>
        <w:gridCol w:w="7083"/>
        <w:gridCol w:w="6865"/>
      </w:tblGrid>
      <w:tr w:rsidR="00CF0841" w:rsidRPr="00CF0841" w14:paraId="5BA94B0F" w14:textId="77777777" w:rsidTr="00167D89">
        <w:tc>
          <w:tcPr>
            <w:tcW w:w="13948" w:type="dxa"/>
            <w:gridSpan w:val="2"/>
          </w:tcPr>
          <w:p w14:paraId="66F6E12E" w14:textId="77777777" w:rsidR="00CF0841" w:rsidRPr="00CF0841" w:rsidRDefault="00CF0841" w:rsidP="00CF0841">
            <w:pPr>
              <w:ind w:left="29" w:right="-7"/>
            </w:pPr>
            <w:r w:rsidRPr="00CF0841">
              <w:t xml:space="preserve">The purpose of the Committee is to consider, and provide, advice and recommendations to the Board on strategic human resource issues, including appointment, performance, remuneration and removal of the Chief Executive; all non-executives (including statutory committee members), and to approve the remuneration and reward package offered to staff. </w:t>
            </w:r>
          </w:p>
          <w:p w14:paraId="28298392" w14:textId="77777777" w:rsidR="00CF0841" w:rsidRPr="00CF0841" w:rsidRDefault="00CF0841" w:rsidP="00CF0841"/>
        </w:tc>
      </w:tr>
      <w:tr w:rsidR="00CF0841" w:rsidRPr="00CF0841" w14:paraId="44C61A8B" w14:textId="77777777" w:rsidTr="00167D89">
        <w:tc>
          <w:tcPr>
            <w:tcW w:w="7083" w:type="dxa"/>
          </w:tcPr>
          <w:p w14:paraId="08B1622F" w14:textId="77777777" w:rsidR="00CF0841" w:rsidRPr="00CF0841" w:rsidRDefault="00CF0841" w:rsidP="00CF0841">
            <w:pPr>
              <w:rPr>
                <w:b/>
                <w:bCs/>
              </w:rPr>
            </w:pPr>
            <w:r w:rsidRPr="00CF0841">
              <w:rPr>
                <w:b/>
                <w:bCs/>
              </w:rPr>
              <w:t>Line item</w:t>
            </w:r>
          </w:p>
        </w:tc>
        <w:tc>
          <w:tcPr>
            <w:tcW w:w="6865" w:type="dxa"/>
          </w:tcPr>
          <w:p w14:paraId="18104F7D" w14:textId="50515FC6" w:rsidR="00CF0841" w:rsidRPr="00CF0841" w:rsidRDefault="00CF0841" w:rsidP="00CF0841">
            <w:r w:rsidRPr="00CF0841">
              <w:rPr>
                <w:rFonts w:cs="Calibri"/>
                <w:b/>
              </w:rPr>
              <w:t xml:space="preserve">Activity </w:t>
            </w:r>
          </w:p>
        </w:tc>
      </w:tr>
      <w:tr w:rsidR="00CF0841" w:rsidRPr="00CF0841" w14:paraId="5C9ACA2B" w14:textId="77777777" w:rsidTr="00167D89">
        <w:trPr>
          <w:trHeight w:val="841"/>
        </w:trPr>
        <w:tc>
          <w:tcPr>
            <w:tcW w:w="7083" w:type="dxa"/>
          </w:tcPr>
          <w:p w14:paraId="7EF51FCF" w14:textId="77777777" w:rsidR="00CF0841" w:rsidRPr="00CF0841" w:rsidRDefault="00CF0841" w:rsidP="00CF0841">
            <w:pPr>
              <w:rPr>
                <w:b/>
                <w:bCs/>
              </w:rPr>
            </w:pPr>
            <w:r w:rsidRPr="00CF0841">
              <w:rPr>
                <w:b/>
                <w:bCs/>
              </w:rPr>
              <w:t>Staff</w:t>
            </w:r>
          </w:p>
          <w:p w14:paraId="1CD235D2" w14:textId="77777777" w:rsidR="00CF0841" w:rsidRPr="00CF0841" w:rsidRDefault="00CF0841" w:rsidP="00CF0841">
            <w:pPr>
              <w:numPr>
                <w:ilvl w:val="0"/>
                <w:numId w:val="17"/>
              </w:numPr>
              <w:spacing w:after="200"/>
              <w:ind w:right="-7"/>
            </w:pPr>
            <w:r w:rsidRPr="00CF0841">
              <w:t>To review and recommend to the Board the principles and policies governing the pay, incentivisation and all other aspects of the total reward package of ARB’s staff.</w:t>
            </w:r>
          </w:p>
          <w:p w14:paraId="4767893D" w14:textId="77777777" w:rsidR="00CF0841" w:rsidRPr="00CF0841" w:rsidRDefault="00CF0841" w:rsidP="00CF0841">
            <w:pPr>
              <w:numPr>
                <w:ilvl w:val="0"/>
                <w:numId w:val="17"/>
              </w:numPr>
              <w:spacing w:after="200"/>
              <w:ind w:right="-7"/>
            </w:pPr>
            <w:r w:rsidRPr="00CF0841">
              <w:t>To review and recommend to the Board the strategic approach to organisational design, job evaluation methodology, incentivisation and total reward.</w:t>
            </w:r>
          </w:p>
          <w:p w14:paraId="6A08BBBB" w14:textId="77777777" w:rsidR="00CF0841" w:rsidRPr="00CF0841" w:rsidRDefault="00CF0841" w:rsidP="00CF0841">
            <w:pPr>
              <w:numPr>
                <w:ilvl w:val="0"/>
                <w:numId w:val="17"/>
              </w:numPr>
              <w:spacing w:after="200"/>
              <w:ind w:right="-7"/>
            </w:pPr>
            <w:r w:rsidRPr="00CF0841">
              <w:t>To receive information about developments in external pay and reward, which may include commissioning expert advice, and advise the Board and Executive accordingly.</w:t>
            </w:r>
          </w:p>
          <w:p w14:paraId="6C16D537" w14:textId="77777777" w:rsidR="00CF0841" w:rsidRPr="00CF0841" w:rsidRDefault="00CF0841" w:rsidP="00CF0841">
            <w:pPr>
              <w:numPr>
                <w:ilvl w:val="0"/>
                <w:numId w:val="17"/>
              </w:numPr>
              <w:spacing w:after="200"/>
              <w:ind w:right="-7"/>
            </w:pPr>
            <w:r w:rsidRPr="00CF0841">
              <w:t>To consider and recommend to the Board the total reward package for staff, on an annual basis. To receive reports on how the policies governing the total reward package are being adhered to.</w:t>
            </w:r>
          </w:p>
          <w:p w14:paraId="42FE887B" w14:textId="77777777" w:rsidR="00CF0841" w:rsidRPr="00CF0841" w:rsidRDefault="00CF0841" w:rsidP="00CF0841">
            <w:pPr>
              <w:numPr>
                <w:ilvl w:val="0"/>
                <w:numId w:val="17"/>
              </w:numPr>
              <w:spacing w:after="200"/>
              <w:ind w:right="-7"/>
            </w:pPr>
            <w:r w:rsidRPr="00CF0841">
              <w:t>To provide advice on HR strategy.</w:t>
            </w:r>
          </w:p>
          <w:p w14:paraId="39C6A6EF" w14:textId="77777777" w:rsidR="00CF0841" w:rsidRPr="00CF0841" w:rsidRDefault="00CF0841" w:rsidP="00CF0841">
            <w:pPr>
              <w:numPr>
                <w:ilvl w:val="0"/>
                <w:numId w:val="17"/>
              </w:numPr>
              <w:contextualSpacing/>
              <w:rPr>
                <w:b/>
                <w:bCs/>
              </w:rPr>
            </w:pPr>
            <w:r w:rsidRPr="00CF0841">
              <w:t>To receive, consider and provide advice on HR matters, including any in year salary amends and structural changes from the Chief Executive.</w:t>
            </w:r>
          </w:p>
        </w:tc>
        <w:tc>
          <w:tcPr>
            <w:tcW w:w="6865" w:type="dxa"/>
          </w:tcPr>
          <w:p w14:paraId="14FEE6E8" w14:textId="77777777" w:rsidR="00CF0841" w:rsidRPr="00CF0841" w:rsidRDefault="00CF0841" w:rsidP="00CF0841">
            <w:r w:rsidRPr="00CF0841">
              <w:t xml:space="preserve">At its April 2020 meeting, the Committee was presented with a report around the pay and reward review, carried out by IES, the findings from this report covered both staff and non-executive pay.   Although this work predates the current People Strategy development work, the evidence gathered has informed the work being undertaken. </w:t>
            </w:r>
          </w:p>
          <w:p w14:paraId="11ED2215" w14:textId="77777777" w:rsidR="00CF0841" w:rsidRPr="00CF0841" w:rsidRDefault="00CF0841" w:rsidP="00CF0841"/>
          <w:p w14:paraId="51414443" w14:textId="165DE3F8" w:rsidR="00CF0841" w:rsidRPr="00CF0841" w:rsidRDefault="00CF0841" w:rsidP="00CF0841">
            <w:r w:rsidRPr="00CF0841">
              <w:t xml:space="preserve">A consultant was appointed to commence a project to review and analyse ARB’s current benefits and pay structure which involved a full consultation with the staff team to ensure their views were accounted for.  </w:t>
            </w:r>
            <w:r w:rsidR="0027225E">
              <w:t>In May 2021, f</w:t>
            </w:r>
            <w:r w:rsidR="0027225E" w:rsidRPr="00CF0841">
              <w:t>ollowing a recommendation from the Remuneration and Appointments Committee</w:t>
            </w:r>
            <w:r w:rsidR="0027225E">
              <w:t xml:space="preserve">, </w:t>
            </w:r>
            <w:r w:rsidR="0027225E" w:rsidRPr="00CF0841">
              <w:t xml:space="preserve">a decision was taken by the Board to cease arrangements for the staff incentive scheme.  </w:t>
            </w:r>
            <w:r w:rsidR="0027225E">
              <w:t>The project around benefits and pay structure</w:t>
            </w:r>
            <w:r w:rsidRPr="00CF0841">
              <w:t xml:space="preserve"> is ongoing with updates oversight of the Remuneration and Appointments Committee and regular reporting to the Board. </w:t>
            </w:r>
          </w:p>
          <w:p w14:paraId="4FE4A6DD" w14:textId="77777777" w:rsidR="00CF0841" w:rsidRPr="00CF0841" w:rsidRDefault="00CF0841" w:rsidP="00CF0841"/>
          <w:p w14:paraId="11E2550A" w14:textId="77777777" w:rsidR="00CF0841" w:rsidRPr="00CF0841" w:rsidRDefault="00CF0841" w:rsidP="00CF0841">
            <w:r w:rsidRPr="00CF0841">
              <w:t>Throughout the year, the Committee has considered and made recommendations to the Board where appropriate on staff benefits and policies (or changes to existing benefits or policies) including:</w:t>
            </w:r>
          </w:p>
          <w:p w14:paraId="32E51190" w14:textId="77777777" w:rsidR="00CF0841" w:rsidRPr="00CF0841" w:rsidRDefault="00CF0841" w:rsidP="00CF0841">
            <w:pPr>
              <w:numPr>
                <w:ilvl w:val="0"/>
                <w:numId w:val="21"/>
              </w:numPr>
              <w:contextualSpacing/>
            </w:pPr>
            <w:r w:rsidRPr="00CF0841">
              <w:t>Implementation of a cycle loan proposal</w:t>
            </w:r>
          </w:p>
          <w:p w14:paraId="18DF8C3E" w14:textId="77777777" w:rsidR="00CF0841" w:rsidRPr="00CF0841" w:rsidRDefault="00CF0841" w:rsidP="00CF0841">
            <w:pPr>
              <w:numPr>
                <w:ilvl w:val="0"/>
                <w:numId w:val="21"/>
              </w:numPr>
              <w:contextualSpacing/>
            </w:pPr>
            <w:r w:rsidRPr="00CF0841">
              <w:t>Review of administrative changes to pension scheme</w:t>
            </w:r>
          </w:p>
          <w:p w14:paraId="5313F293" w14:textId="77777777" w:rsidR="00CF0841" w:rsidRPr="00CF0841" w:rsidRDefault="00CF0841" w:rsidP="00CF0841">
            <w:pPr>
              <w:numPr>
                <w:ilvl w:val="0"/>
                <w:numId w:val="21"/>
              </w:numPr>
              <w:contextualSpacing/>
            </w:pPr>
            <w:r w:rsidRPr="00CF0841">
              <w:t xml:space="preserve">A review of staff </w:t>
            </w:r>
            <w:proofErr w:type="gramStart"/>
            <w:r w:rsidRPr="00CF0841">
              <w:t>notice</w:t>
            </w:r>
            <w:proofErr w:type="gramEnd"/>
            <w:r w:rsidRPr="00CF0841">
              <w:t xml:space="preserve"> periods and probationary periods</w:t>
            </w:r>
          </w:p>
          <w:p w14:paraId="3F4DD941" w14:textId="77777777" w:rsidR="00CF0841" w:rsidRPr="00CF0841" w:rsidRDefault="00CF0841" w:rsidP="00CF0841">
            <w:pPr>
              <w:numPr>
                <w:ilvl w:val="0"/>
                <w:numId w:val="21"/>
              </w:numPr>
              <w:contextualSpacing/>
            </w:pPr>
            <w:r w:rsidRPr="00CF0841">
              <w:lastRenderedPageBreak/>
              <w:t xml:space="preserve">Soundings were also taken from all Board members and advice was sought from the </w:t>
            </w:r>
            <w:proofErr w:type="spellStart"/>
            <w:r w:rsidRPr="00CF0841">
              <w:t>RaAC</w:t>
            </w:r>
            <w:proofErr w:type="spellEnd"/>
            <w:r w:rsidRPr="00CF0841">
              <w:t xml:space="preserve"> independent member on the ongoing and recently agreed paper on strategy and capacity planning (agreed by the Board in May 2021).</w:t>
            </w:r>
          </w:p>
          <w:p w14:paraId="28946303" w14:textId="77777777" w:rsidR="00CF0841" w:rsidRPr="00CF0841" w:rsidRDefault="00CF0841" w:rsidP="00CF0841"/>
          <w:p w14:paraId="5FA7401B" w14:textId="77777777" w:rsidR="00CF0841" w:rsidRPr="00CF0841" w:rsidRDefault="00CF0841" w:rsidP="00CF0841">
            <w:r w:rsidRPr="00CF0841">
              <w:t xml:space="preserve">Any in year salary adjustments have been reported to the </w:t>
            </w:r>
            <w:proofErr w:type="spellStart"/>
            <w:r w:rsidRPr="00CF0841">
              <w:t>RaAC</w:t>
            </w:r>
            <w:proofErr w:type="spellEnd"/>
            <w:r w:rsidRPr="00CF0841">
              <w:t>.</w:t>
            </w:r>
          </w:p>
          <w:p w14:paraId="2E5339BB" w14:textId="77777777" w:rsidR="00CF0841" w:rsidRPr="00CF0841" w:rsidRDefault="00CF0841" w:rsidP="00CF0841"/>
          <w:p w14:paraId="49DA8051" w14:textId="77777777" w:rsidR="00CF0841" w:rsidRPr="00CF0841" w:rsidRDefault="00CF0841" w:rsidP="00CF0841">
            <w:r w:rsidRPr="00CF0841">
              <w:t>The Committee received staffing data periodically throughout the reporting period on the following:</w:t>
            </w:r>
          </w:p>
          <w:p w14:paraId="5E7984E8" w14:textId="77777777" w:rsidR="00CF0841" w:rsidRPr="00CF0841" w:rsidRDefault="00CF0841" w:rsidP="00CF0841">
            <w:pPr>
              <w:numPr>
                <w:ilvl w:val="0"/>
                <w:numId w:val="22"/>
              </w:numPr>
              <w:contextualSpacing/>
            </w:pPr>
            <w:r w:rsidRPr="00CF0841">
              <w:t>staff turnover</w:t>
            </w:r>
          </w:p>
          <w:p w14:paraId="76EC9E2E" w14:textId="77777777" w:rsidR="00CF0841" w:rsidRPr="00CF0841" w:rsidRDefault="00CF0841" w:rsidP="00CF0841">
            <w:pPr>
              <w:numPr>
                <w:ilvl w:val="0"/>
                <w:numId w:val="22"/>
              </w:numPr>
              <w:contextualSpacing/>
            </w:pPr>
            <w:r w:rsidRPr="00CF0841">
              <w:t>recruitment (including recruitment costs)</w:t>
            </w:r>
          </w:p>
          <w:p w14:paraId="6E7D4C1C" w14:textId="77777777" w:rsidR="00CF0841" w:rsidRPr="00CF0841" w:rsidRDefault="00CF0841" w:rsidP="00CF0841">
            <w:pPr>
              <w:numPr>
                <w:ilvl w:val="0"/>
                <w:numId w:val="22"/>
              </w:numPr>
              <w:contextualSpacing/>
            </w:pPr>
            <w:r w:rsidRPr="00CF0841">
              <w:t>staff team profile</w:t>
            </w:r>
          </w:p>
          <w:p w14:paraId="57DDC2AF" w14:textId="77777777" w:rsidR="00CF0841" w:rsidRPr="00CF0841" w:rsidRDefault="00CF0841" w:rsidP="00CF0841">
            <w:pPr>
              <w:numPr>
                <w:ilvl w:val="0"/>
                <w:numId w:val="22"/>
              </w:numPr>
              <w:contextualSpacing/>
            </w:pPr>
            <w:r w:rsidRPr="00CF0841">
              <w:t>sickness absence</w:t>
            </w:r>
          </w:p>
          <w:p w14:paraId="71829ECB" w14:textId="77777777" w:rsidR="00CF0841" w:rsidRPr="00CF0841" w:rsidRDefault="00CF0841" w:rsidP="00CF0841">
            <w:pPr>
              <w:numPr>
                <w:ilvl w:val="0"/>
                <w:numId w:val="22"/>
              </w:numPr>
              <w:contextualSpacing/>
            </w:pPr>
            <w:r w:rsidRPr="00CF0841">
              <w:t>staff training and development</w:t>
            </w:r>
          </w:p>
          <w:p w14:paraId="3B12CF2D" w14:textId="77777777" w:rsidR="00CF0841" w:rsidRPr="00CF0841" w:rsidRDefault="00CF0841" w:rsidP="00CF0841">
            <w:pPr>
              <w:numPr>
                <w:ilvl w:val="0"/>
                <w:numId w:val="22"/>
              </w:numPr>
              <w:contextualSpacing/>
            </w:pPr>
            <w:r w:rsidRPr="00CF0841">
              <w:t>equality and diversity (for employees and job applicants)</w:t>
            </w:r>
          </w:p>
          <w:p w14:paraId="5BA2CDE2" w14:textId="77777777" w:rsidR="00CF0841" w:rsidRPr="00CF0841" w:rsidRDefault="00CF0841" w:rsidP="00CF0841">
            <w:pPr>
              <w:ind w:left="360"/>
            </w:pPr>
          </w:p>
          <w:p w14:paraId="0FC13D75" w14:textId="77777777" w:rsidR="00CF0841" w:rsidRPr="00CF0841" w:rsidRDefault="00CF0841" w:rsidP="00CF0841">
            <w:r w:rsidRPr="00CF0841">
              <w:t>The data presented remains under review by the Committee.</w:t>
            </w:r>
          </w:p>
          <w:p w14:paraId="035F69A1" w14:textId="77777777" w:rsidR="00CF0841" w:rsidRPr="00CF0841" w:rsidRDefault="00CF0841" w:rsidP="00CF0841"/>
          <w:p w14:paraId="7E63FAD5" w14:textId="77777777" w:rsidR="00CF0841" w:rsidRPr="00CF0841" w:rsidRDefault="00CF0841" w:rsidP="00CF0841">
            <w:r w:rsidRPr="00CF0841">
              <w:t>At its meeting of September 2020, the Committee discussed and agreed to propose to the Board a cost of living pay award and incentive scheme payment (prior to the cessation of the scheme).  The Committee’s recommendations were approved by the Board in October 2020.</w:t>
            </w:r>
          </w:p>
        </w:tc>
      </w:tr>
      <w:tr w:rsidR="00CF0841" w:rsidRPr="00CF0841" w14:paraId="02ADC55E" w14:textId="77777777" w:rsidTr="00167D89">
        <w:tc>
          <w:tcPr>
            <w:tcW w:w="13948" w:type="dxa"/>
            <w:gridSpan w:val="2"/>
          </w:tcPr>
          <w:p w14:paraId="394AB926" w14:textId="77777777" w:rsidR="00CF0841" w:rsidRPr="00CF0841" w:rsidRDefault="00CF0841" w:rsidP="00CF0841">
            <w:r w:rsidRPr="00CF0841">
              <w:rPr>
                <w:b/>
                <w:bCs/>
              </w:rPr>
              <w:lastRenderedPageBreak/>
              <w:t>Chief Executive and Registrar</w:t>
            </w:r>
          </w:p>
        </w:tc>
      </w:tr>
      <w:tr w:rsidR="00CF0841" w:rsidRPr="00CF0841" w14:paraId="6BAC4035" w14:textId="77777777" w:rsidTr="00167D89">
        <w:tc>
          <w:tcPr>
            <w:tcW w:w="7083" w:type="dxa"/>
          </w:tcPr>
          <w:p w14:paraId="5F796377" w14:textId="77777777" w:rsidR="00CF0841" w:rsidRPr="00CF0841" w:rsidRDefault="00CF0841" w:rsidP="00CF0841">
            <w:pPr>
              <w:numPr>
                <w:ilvl w:val="0"/>
                <w:numId w:val="17"/>
              </w:numPr>
              <w:spacing w:after="200"/>
              <w:ind w:right="-7"/>
            </w:pPr>
            <w:r w:rsidRPr="00CF0841">
              <w:t>To consider and make recommendations to the Board (in accordance with Section 2 of the Architects Act) for the appointment, and where necessary, the performance management and removal of the Chief Executive.</w:t>
            </w:r>
          </w:p>
          <w:p w14:paraId="4EE9AE8A" w14:textId="77777777" w:rsidR="00CF0841" w:rsidRPr="00CF0841" w:rsidRDefault="00CF0841" w:rsidP="00CF0841">
            <w:pPr>
              <w:numPr>
                <w:ilvl w:val="0"/>
                <w:numId w:val="17"/>
              </w:numPr>
              <w:spacing w:after="200"/>
              <w:ind w:right="-7"/>
            </w:pPr>
            <w:r w:rsidRPr="00CF0841">
              <w:t>To review, advise and make recommendations to the Board regarding the pay, incentivisation and total reward package of the Chief Executive.</w:t>
            </w:r>
          </w:p>
        </w:tc>
        <w:tc>
          <w:tcPr>
            <w:tcW w:w="6865" w:type="dxa"/>
          </w:tcPr>
          <w:p w14:paraId="30B43474" w14:textId="228E04CD" w:rsidR="00CF0841" w:rsidRDefault="00CF0841" w:rsidP="00CF0841">
            <w:r w:rsidRPr="00CF0841">
              <w:t>Owing to the former Registrar’s resignation in May 2020, the Committee met in late May 2020 to discuss the appointment of a Temporary CEO and Registrar (to include pay and reward for the role), as well as discussing a recruitment campaign for filling the post on a permanent basis.  Part of that discussion around the recruitment process resulted in the independent member of the Committee re-drafting the job description and person specification for further review by the Committee.  The Committee took a recommendation on the temporary CEO and Registrar appointment, as well as the recruitment plan for the permanent replacement to the Board in late May 2020, both of which were agreed</w:t>
            </w:r>
          </w:p>
          <w:p w14:paraId="5671ED5F" w14:textId="0C624315" w:rsidR="00CF0841" w:rsidRPr="00CF0841" w:rsidRDefault="00CF0841" w:rsidP="00CF0841"/>
        </w:tc>
      </w:tr>
      <w:tr w:rsidR="00CF0841" w:rsidRPr="00CF0841" w14:paraId="01043E04" w14:textId="77777777" w:rsidTr="00167D89">
        <w:tc>
          <w:tcPr>
            <w:tcW w:w="13948" w:type="dxa"/>
            <w:gridSpan w:val="2"/>
          </w:tcPr>
          <w:p w14:paraId="4A282445" w14:textId="77777777" w:rsidR="00CF0841" w:rsidRPr="00CF0841" w:rsidRDefault="00CF0841" w:rsidP="00CF0841">
            <w:r w:rsidRPr="00CF0841">
              <w:rPr>
                <w:b/>
                <w:bCs/>
              </w:rPr>
              <w:lastRenderedPageBreak/>
              <w:t>Senior Leadership Group</w:t>
            </w:r>
          </w:p>
        </w:tc>
      </w:tr>
      <w:tr w:rsidR="00CF0841" w:rsidRPr="00CF0841" w14:paraId="4A9B7D58" w14:textId="77777777" w:rsidTr="00167D89">
        <w:tc>
          <w:tcPr>
            <w:tcW w:w="7083" w:type="dxa"/>
          </w:tcPr>
          <w:p w14:paraId="1ACBD5DB" w14:textId="77777777" w:rsidR="00CF0841" w:rsidRPr="00CF0841" w:rsidRDefault="00CF0841" w:rsidP="00CF0841">
            <w:pPr>
              <w:numPr>
                <w:ilvl w:val="0"/>
                <w:numId w:val="18"/>
              </w:numPr>
              <w:spacing w:line="280" w:lineRule="exact"/>
              <w:ind w:right="-7"/>
              <w:contextualSpacing/>
              <w:rPr>
                <w:iCs/>
              </w:rPr>
            </w:pPr>
            <w:r w:rsidRPr="00CF0841">
              <w:rPr>
                <w:iCs/>
              </w:rPr>
              <w:t>To support and advise the CEO on the recruitment, appointment and structure of the Senior Leadership Group where required.</w:t>
            </w:r>
          </w:p>
          <w:p w14:paraId="18D7E118" w14:textId="77777777" w:rsidR="00CF0841" w:rsidRPr="00CF0841" w:rsidRDefault="00CF0841" w:rsidP="00CF0841">
            <w:pPr>
              <w:spacing w:line="280" w:lineRule="exact"/>
              <w:ind w:left="720" w:right="-7"/>
              <w:contextualSpacing/>
              <w:rPr>
                <w:iCs/>
              </w:rPr>
            </w:pPr>
          </w:p>
          <w:p w14:paraId="2CE30CFB" w14:textId="77777777" w:rsidR="00CF0841" w:rsidRPr="00CF0841" w:rsidRDefault="00CF0841" w:rsidP="00CF0841">
            <w:pPr>
              <w:numPr>
                <w:ilvl w:val="0"/>
                <w:numId w:val="18"/>
              </w:numPr>
              <w:spacing w:after="200"/>
              <w:contextualSpacing/>
            </w:pPr>
            <w:r w:rsidRPr="00CF0841">
              <w:t>To approve the CEO’s recommendations for Senior Leadership Group remuneration reviews and any in year salary movements.</w:t>
            </w:r>
          </w:p>
          <w:p w14:paraId="1D75BE4F" w14:textId="77777777" w:rsidR="00CF0841" w:rsidRPr="00CF0841" w:rsidRDefault="00CF0841" w:rsidP="00CF0841">
            <w:pPr>
              <w:spacing w:after="200"/>
              <w:ind w:right="-7"/>
            </w:pPr>
          </w:p>
        </w:tc>
        <w:tc>
          <w:tcPr>
            <w:tcW w:w="6865" w:type="dxa"/>
          </w:tcPr>
          <w:p w14:paraId="4912929C" w14:textId="77777777" w:rsidR="00CF0841" w:rsidRPr="00CF0841" w:rsidRDefault="00CF0841" w:rsidP="00CF0841">
            <w:r w:rsidRPr="00CF0841">
              <w:t>The Committee was consulted on job title amendments of the Senior Leadership Group, changing from ‘Head’ of Department to ‘Director’ of Department.  This was agreed in July 2020.</w:t>
            </w:r>
          </w:p>
          <w:p w14:paraId="688F4BD0" w14:textId="77777777" w:rsidR="00CF0841" w:rsidRPr="00CF0841" w:rsidRDefault="00CF0841" w:rsidP="00CF0841"/>
          <w:p w14:paraId="5C5C6AB0" w14:textId="77777777" w:rsidR="00CF0841" w:rsidRPr="00CF0841" w:rsidRDefault="00CF0841" w:rsidP="00CF0841">
            <w:r w:rsidRPr="00CF0841">
              <w:t>The Committee provided support on the re-structure of the Communications team, to include the creation of an additional post in the Senior Leadership Group, being the Director of Policy and Communications.</w:t>
            </w:r>
          </w:p>
          <w:p w14:paraId="6075D301" w14:textId="77777777" w:rsidR="00CF0841" w:rsidRPr="00CF0841" w:rsidRDefault="00CF0841" w:rsidP="00CF0841"/>
          <w:p w14:paraId="232CAAE0" w14:textId="77777777" w:rsidR="00CF0841" w:rsidRPr="00CF0841" w:rsidRDefault="00CF0841" w:rsidP="00CF0841">
            <w:r w:rsidRPr="00CF0841">
              <w:t xml:space="preserve">Any in year salary adjustments were agreed by the </w:t>
            </w:r>
            <w:proofErr w:type="spellStart"/>
            <w:r w:rsidRPr="00CF0841">
              <w:t>RaAC</w:t>
            </w:r>
            <w:proofErr w:type="spellEnd"/>
            <w:r w:rsidRPr="00CF0841">
              <w:t>.</w:t>
            </w:r>
          </w:p>
          <w:p w14:paraId="03A4213B" w14:textId="77777777" w:rsidR="00CF0841" w:rsidRPr="00CF0841" w:rsidRDefault="00CF0841" w:rsidP="00CF0841"/>
        </w:tc>
      </w:tr>
      <w:tr w:rsidR="00CF0841" w:rsidRPr="00CF0841" w14:paraId="7457F53B" w14:textId="77777777" w:rsidTr="00167D89">
        <w:tc>
          <w:tcPr>
            <w:tcW w:w="13948" w:type="dxa"/>
            <w:gridSpan w:val="2"/>
          </w:tcPr>
          <w:p w14:paraId="4A24798D" w14:textId="77777777" w:rsidR="00CF0841" w:rsidRPr="00CF0841" w:rsidRDefault="00CF0841" w:rsidP="00CF0841">
            <w:proofErr w:type="gramStart"/>
            <w:r w:rsidRPr="00CF0841">
              <w:rPr>
                <w:b/>
                <w:bCs/>
              </w:rPr>
              <w:t>Non Executives</w:t>
            </w:r>
            <w:proofErr w:type="gramEnd"/>
            <w:r w:rsidRPr="00CF0841">
              <w:rPr>
                <w:b/>
                <w:bCs/>
              </w:rPr>
              <w:t xml:space="preserve"> and advisers</w:t>
            </w:r>
          </w:p>
        </w:tc>
      </w:tr>
      <w:tr w:rsidR="00CF0841" w:rsidRPr="00CF0841" w14:paraId="283AA70F" w14:textId="77777777" w:rsidTr="00167D89">
        <w:tc>
          <w:tcPr>
            <w:tcW w:w="7083" w:type="dxa"/>
          </w:tcPr>
          <w:p w14:paraId="6D67BE8F" w14:textId="77777777" w:rsidR="00CF0841" w:rsidRPr="00CF0841" w:rsidRDefault="00CF0841" w:rsidP="00CF0841">
            <w:pPr>
              <w:numPr>
                <w:ilvl w:val="0"/>
                <w:numId w:val="17"/>
              </w:numPr>
              <w:spacing w:after="200"/>
              <w:ind w:right="-7"/>
            </w:pPr>
            <w:r w:rsidRPr="00CF0841">
              <w:t>To advise and make recommendations to the Board about the remuneration of all non-executives and advisers, including travel and subsistence payments.</w:t>
            </w:r>
          </w:p>
          <w:p w14:paraId="400663F8" w14:textId="77777777" w:rsidR="00CF0841" w:rsidRPr="00CF0841" w:rsidRDefault="00CF0841" w:rsidP="00CF0841">
            <w:pPr>
              <w:numPr>
                <w:ilvl w:val="0"/>
                <w:numId w:val="17"/>
              </w:numPr>
              <w:spacing w:after="200"/>
              <w:ind w:right="-7"/>
            </w:pPr>
            <w:r w:rsidRPr="00CF0841">
              <w:t xml:space="preserve">To advise and make recommendations to the Board about the recruitment and re-appointment policy of all non-executives and advisers (including statutory committee members). </w:t>
            </w:r>
          </w:p>
          <w:p w14:paraId="5035E9D9" w14:textId="77777777" w:rsidR="00CF0841" w:rsidRPr="00CF0841" w:rsidRDefault="00CF0841" w:rsidP="00CF0841">
            <w:pPr>
              <w:numPr>
                <w:ilvl w:val="0"/>
                <w:numId w:val="17"/>
              </w:numPr>
              <w:spacing w:after="200"/>
              <w:ind w:right="-7"/>
            </w:pPr>
            <w:r w:rsidRPr="00CF0841">
              <w:t>To advise and make recommendations to the Board about performance review processes policy for all non-executives and advisers.</w:t>
            </w:r>
          </w:p>
          <w:p w14:paraId="3F5911FC" w14:textId="77777777" w:rsidR="00CF0841" w:rsidRPr="00CF0841" w:rsidRDefault="00CF0841" w:rsidP="00CF0841">
            <w:pPr>
              <w:spacing w:after="200"/>
              <w:ind w:right="-7"/>
            </w:pPr>
          </w:p>
        </w:tc>
        <w:tc>
          <w:tcPr>
            <w:tcW w:w="6865" w:type="dxa"/>
          </w:tcPr>
          <w:p w14:paraId="5713B674" w14:textId="77777777" w:rsidR="00CF0841" w:rsidRPr="00CF0841" w:rsidRDefault="00CF0841" w:rsidP="00CF0841">
            <w:r w:rsidRPr="00CF0841">
              <w:t xml:space="preserve">In April 2020, the Committee discussed and agreed to make recommendations to the Board around an increase to various non-executive pay rates.  The Board discussed the recommendations and acknowledged comments made by members of the </w:t>
            </w:r>
            <w:proofErr w:type="spellStart"/>
            <w:r w:rsidRPr="00CF0841">
              <w:t>RaAC</w:t>
            </w:r>
            <w:proofErr w:type="spellEnd"/>
            <w:r w:rsidRPr="00CF0841">
              <w:t xml:space="preserve"> that now might be the right time for pay </w:t>
            </w:r>
            <w:proofErr w:type="gramStart"/>
            <w:r w:rsidRPr="00CF0841">
              <w:t>increases, and</w:t>
            </w:r>
            <w:proofErr w:type="gramEnd"/>
            <w:r w:rsidRPr="00CF0841">
              <w:t xml:space="preserve"> decided that the only increase made should be for the members of the Professional Conduct Committee, so as to ensure to attract the right calibre of candidates for those roles which were being recruited to at that time. </w:t>
            </w:r>
          </w:p>
          <w:p w14:paraId="2A4B6C0A" w14:textId="77777777" w:rsidR="00CF0841" w:rsidRPr="00CF0841" w:rsidRDefault="00CF0841" w:rsidP="00CF0841"/>
          <w:p w14:paraId="2A7C84B1" w14:textId="77777777" w:rsidR="00CF0841" w:rsidRPr="00CF0841" w:rsidRDefault="00CF0841" w:rsidP="00CF0841">
            <w:r w:rsidRPr="00CF0841">
              <w:t>In September 2020, the Committee discussed whether to recommend to the Board a policy change to the remuneration of Board members.  This resulted in a recommendation being taken to the Board, although the Board determined that while there were merits to an annual payment system, now was not the time to implement.  This decision is due for review.</w:t>
            </w:r>
          </w:p>
          <w:p w14:paraId="05FB319A" w14:textId="77777777" w:rsidR="00CF0841" w:rsidRPr="00CF0841" w:rsidRDefault="00CF0841" w:rsidP="00CF0841"/>
          <w:p w14:paraId="6DAD1ECD" w14:textId="72D36308" w:rsidR="007C1EC7" w:rsidRPr="00CF0841" w:rsidRDefault="00CF0841" w:rsidP="00CF0841">
            <w:r w:rsidRPr="00CF0841">
              <w:t>Also at its September 2020 meeting, the Committee discussed and agreed to recommend to the Board policy changes in respect of the recruitment and management of non-executive posts, excluding Board members.  The suggested amendments were discussed and approved by the Board at its October 2020 meeting</w:t>
            </w:r>
          </w:p>
          <w:p w14:paraId="671192D3" w14:textId="77777777" w:rsidR="00CF0841" w:rsidRPr="00CF0841" w:rsidRDefault="00CF0841" w:rsidP="00CF0841"/>
        </w:tc>
      </w:tr>
      <w:tr w:rsidR="00CF0841" w:rsidRPr="00CF0841" w14:paraId="2657E273" w14:textId="77777777" w:rsidTr="00167D89">
        <w:tc>
          <w:tcPr>
            <w:tcW w:w="13948" w:type="dxa"/>
            <w:gridSpan w:val="2"/>
          </w:tcPr>
          <w:p w14:paraId="6D27AE55" w14:textId="77777777" w:rsidR="00CF0841" w:rsidRPr="00CF0841" w:rsidRDefault="00CF0841" w:rsidP="00CF0841">
            <w:r w:rsidRPr="00CF0841">
              <w:rPr>
                <w:b/>
                <w:bCs/>
              </w:rPr>
              <w:lastRenderedPageBreak/>
              <w:t>Board Appointments</w:t>
            </w:r>
          </w:p>
        </w:tc>
      </w:tr>
      <w:tr w:rsidR="00CF0841" w:rsidRPr="00CF0841" w14:paraId="3E843D96" w14:textId="77777777" w:rsidTr="00167D89">
        <w:tc>
          <w:tcPr>
            <w:tcW w:w="7083" w:type="dxa"/>
          </w:tcPr>
          <w:p w14:paraId="14971B17" w14:textId="77777777" w:rsidR="00CF0841" w:rsidRPr="00CF0841" w:rsidRDefault="00CF0841" w:rsidP="00CF0841">
            <w:pPr>
              <w:numPr>
                <w:ilvl w:val="0"/>
                <w:numId w:val="17"/>
              </w:numPr>
              <w:spacing w:after="200"/>
              <w:ind w:right="-7"/>
            </w:pPr>
            <w:r w:rsidRPr="00CF0841">
              <w:t xml:space="preserve">To advise and make recommendations to the Board </w:t>
            </w:r>
            <w:proofErr w:type="gramStart"/>
            <w:r w:rsidRPr="00CF0841">
              <w:t>in the event that</w:t>
            </w:r>
            <w:proofErr w:type="gramEnd"/>
            <w:r w:rsidRPr="00CF0841">
              <w:t xml:space="preserve"> it needs to appoint a temporary member of the Board in line with General Rules.</w:t>
            </w:r>
          </w:p>
          <w:p w14:paraId="03F6F582" w14:textId="77777777" w:rsidR="00CF0841" w:rsidRPr="00CF0841" w:rsidRDefault="00CF0841" w:rsidP="00CF0841">
            <w:pPr>
              <w:numPr>
                <w:ilvl w:val="0"/>
                <w:numId w:val="17"/>
              </w:numPr>
              <w:spacing w:after="200"/>
              <w:ind w:right="-7"/>
            </w:pPr>
            <w:r w:rsidRPr="00CF0841">
              <w:t xml:space="preserve">To advise and make recommendations to the Board </w:t>
            </w:r>
            <w:proofErr w:type="gramStart"/>
            <w:r w:rsidRPr="00CF0841">
              <w:t>in the event that</w:t>
            </w:r>
            <w:proofErr w:type="gramEnd"/>
            <w:r w:rsidRPr="00CF0841">
              <w:t xml:space="preserve"> it needs to appoint a temporary Chair in line with the General Rules.</w:t>
            </w:r>
          </w:p>
          <w:p w14:paraId="34353FE3" w14:textId="77777777" w:rsidR="00CF0841" w:rsidRPr="00CF0841" w:rsidRDefault="00CF0841" w:rsidP="00CF0841"/>
        </w:tc>
        <w:tc>
          <w:tcPr>
            <w:tcW w:w="6865" w:type="dxa"/>
          </w:tcPr>
          <w:p w14:paraId="79E0C220" w14:textId="77777777" w:rsidR="00CF0841" w:rsidRPr="00CF0841" w:rsidRDefault="00CF0841" w:rsidP="00CF0841">
            <w:r w:rsidRPr="00CF0841">
              <w:t xml:space="preserve">While there was a requirement for a temporary Board chair in the reporting period, due to timing issues this process was considered and agreed by the full Board. </w:t>
            </w:r>
          </w:p>
        </w:tc>
      </w:tr>
      <w:tr w:rsidR="00CF0841" w:rsidRPr="00CF0841" w14:paraId="6E2A4439" w14:textId="77777777" w:rsidTr="00167D89">
        <w:tc>
          <w:tcPr>
            <w:tcW w:w="13948" w:type="dxa"/>
            <w:gridSpan w:val="2"/>
          </w:tcPr>
          <w:p w14:paraId="723B75FC" w14:textId="77777777" w:rsidR="00CF0841" w:rsidRPr="00CF0841" w:rsidRDefault="00CF0841" w:rsidP="00CF0841">
            <w:r w:rsidRPr="00CF0841">
              <w:rPr>
                <w:b/>
                <w:bCs/>
              </w:rPr>
              <w:t>Strategic HR Advice</w:t>
            </w:r>
          </w:p>
        </w:tc>
      </w:tr>
      <w:tr w:rsidR="00CF0841" w:rsidRPr="00CF0841" w14:paraId="67FB169C" w14:textId="77777777" w:rsidTr="00167D89">
        <w:tc>
          <w:tcPr>
            <w:tcW w:w="7083" w:type="dxa"/>
          </w:tcPr>
          <w:p w14:paraId="66882C53" w14:textId="77777777" w:rsidR="00CF0841" w:rsidRPr="00CF0841" w:rsidRDefault="00CF0841" w:rsidP="00CF0841">
            <w:pPr>
              <w:numPr>
                <w:ilvl w:val="0"/>
                <w:numId w:val="17"/>
              </w:numPr>
              <w:spacing w:line="280" w:lineRule="exact"/>
              <w:ind w:right="-7"/>
              <w:contextualSpacing/>
            </w:pPr>
            <w:r w:rsidRPr="00CF0841">
              <w:t xml:space="preserve">To provide strategic and confidential advice to the Chief Executive </w:t>
            </w:r>
            <w:proofErr w:type="gramStart"/>
            <w:r w:rsidRPr="00CF0841">
              <w:t>in the event that</w:t>
            </w:r>
            <w:proofErr w:type="gramEnd"/>
            <w:r w:rsidRPr="00CF0841">
              <w:t xml:space="preserve"> this is required.</w:t>
            </w:r>
          </w:p>
          <w:p w14:paraId="11196278" w14:textId="77777777" w:rsidR="00CF0841" w:rsidRPr="00CF0841" w:rsidRDefault="00CF0841" w:rsidP="00CF0841"/>
        </w:tc>
        <w:tc>
          <w:tcPr>
            <w:tcW w:w="6865" w:type="dxa"/>
          </w:tcPr>
          <w:p w14:paraId="15E341CE" w14:textId="77777777" w:rsidR="00CF0841" w:rsidRPr="00CF0841" w:rsidRDefault="00CF0841" w:rsidP="00CF0841">
            <w:r w:rsidRPr="00CF0841">
              <w:t>As referenced under the Senior Leadership Group section above, the Committee provided support on the re-structure of the Communications team.</w:t>
            </w:r>
          </w:p>
          <w:p w14:paraId="4A6035C1" w14:textId="77777777" w:rsidR="00CF0841" w:rsidRPr="00CF0841" w:rsidRDefault="00CF0841" w:rsidP="00CF0841"/>
        </w:tc>
      </w:tr>
      <w:tr w:rsidR="00CF0841" w:rsidRPr="00CF0841" w14:paraId="4997999A" w14:textId="77777777" w:rsidTr="00167D89">
        <w:tc>
          <w:tcPr>
            <w:tcW w:w="13948" w:type="dxa"/>
            <w:gridSpan w:val="2"/>
          </w:tcPr>
          <w:p w14:paraId="269F5549" w14:textId="77777777" w:rsidR="00CF0841" w:rsidRPr="00CF0841" w:rsidRDefault="00CF0841" w:rsidP="00CF0841">
            <w:r w:rsidRPr="00CF0841">
              <w:rPr>
                <w:b/>
                <w:bCs/>
              </w:rPr>
              <w:t>Membership</w:t>
            </w:r>
          </w:p>
        </w:tc>
      </w:tr>
      <w:tr w:rsidR="00CF0841" w:rsidRPr="00CF0841" w14:paraId="4C144FBE" w14:textId="77777777" w:rsidTr="00167D89">
        <w:tc>
          <w:tcPr>
            <w:tcW w:w="7083" w:type="dxa"/>
          </w:tcPr>
          <w:p w14:paraId="57EC78BE" w14:textId="77777777" w:rsidR="00CF0841" w:rsidRPr="00CF0841" w:rsidRDefault="00CF0841" w:rsidP="00CF0841">
            <w:pPr>
              <w:ind w:left="171" w:right="-7"/>
            </w:pPr>
            <w:r w:rsidRPr="00CF0841">
              <w:t>The members of the Committee shall be appointed by the Board and shall consist of the following:</w:t>
            </w:r>
          </w:p>
          <w:p w14:paraId="25E0FC06" w14:textId="77777777" w:rsidR="00CF0841" w:rsidRPr="00CF0841" w:rsidRDefault="00CF0841" w:rsidP="00CF0841">
            <w:pPr>
              <w:ind w:left="171" w:right="-7"/>
            </w:pPr>
          </w:p>
          <w:p w14:paraId="43313457" w14:textId="77777777" w:rsidR="00CF0841" w:rsidRPr="00CF0841" w:rsidRDefault="00CF0841" w:rsidP="00CF0841">
            <w:pPr>
              <w:numPr>
                <w:ilvl w:val="0"/>
                <w:numId w:val="17"/>
              </w:numPr>
              <w:spacing w:after="200"/>
              <w:ind w:right="-7"/>
              <w:contextualSpacing/>
            </w:pPr>
            <w:r w:rsidRPr="00CF0841">
              <w:t>Three Board members, one of whom will be appointed as Chair</w:t>
            </w:r>
          </w:p>
          <w:p w14:paraId="51B1D65B" w14:textId="77777777" w:rsidR="00CF0841" w:rsidRPr="00CF0841" w:rsidRDefault="00CF0841" w:rsidP="00CF0841">
            <w:pPr>
              <w:numPr>
                <w:ilvl w:val="0"/>
                <w:numId w:val="19"/>
              </w:numPr>
              <w:ind w:right="-7"/>
              <w:contextualSpacing/>
            </w:pPr>
            <w:r w:rsidRPr="00CF0841">
              <w:t xml:space="preserve">Two lay Board members and one architect Board member should sit on the Committee.  </w:t>
            </w:r>
          </w:p>
          <w:p w14:paraId="2E79385A" w14:textId="77777777" w:rsidR="00CF0841" w:rsidRPr="00CF0841" w:rsidRDefault="00CF0841" w:rsidP="00CF0841">
            <w:pPr>
              <w:ind w:left="171" w:right="-7"/>
            </w:pPr>
          </w:p>
          <w:p w14:paraId="7B739F9F" w14:textId="77777777" w:rsidR="00CF0841" w:rsidRPr="00CF0841" w:rsidRDefault="00CF0841" w:rsidP="00CF0841">
            <w:pPr>
              <w:ind w:left="171" w:right="-7"/>
            </w:pPr>
            <w:r w:rsidRPr="00CF0841">
              <w:t>The Board may also appoint one additional external member to supplement the Committee’s skills base and/or provide an additional independent perspective.</w:t>
            </w:r>
          </w:p>
          <w:p w14:paraId="1DBF892E" w14:textId="77777777" w:rsidR="00CF0841" w:rsidRPr="00CF0841" w:rsidRDefault="00CF0841" w:rsidP="00CF0841">
            <w:pPr>
              <w:ind w:left="171" w:right="-7"/>
            </w:pPr>
          </w:p>
          <w:p w14:paraId="57FE6B46" w14:textId="77777777" w:rsidR="00CF0841" w:rsidRPr="00CF0841" w:rsidRDefault="00CF0841" w:rsidP="00CF0841">
            <w:pPr>
              <w:ind w:left="171" w:right="-7"/>
            </w:pPr>
            <w:r w:rsidRPr="00CF0841">
              <w:t xml:space="preserve">A member of the Executive should act as secretary to the Committee. </w:t>
            </w:r>
          </w:p>
          <w:p w14:paraId="566633CC" w14:textId="77777777" w:rsidR="00CF0841" w:rsidRPr="00CF0841" w:rsidRDefault="00CF0841" w:rsidP="00CF0841">
            <w:pPr>
              <w:ind w:left="171" w:right="-7"/>
            </w:pPr>
            <w:r w:rsidRPr="00CF0841">
              <w:t>Other regular attendees at the Committee are:</w:t>
            </w:r>
          </w:p>
          <w:p w14:paraId="29DDEB02" w14:textId="77777777" w:rsidR="00CF0841" w:rsidRPr="00CF0841" w:rsidRDefault="00CF0841" w:rsidP="00CF0841">
            <w:pPr>
              <w:numPr>
                <w:ilvl w:val="0"/>
                <w:numId w:val="20"/>
              </w:numPr>
              <w:spacing w:after="200"/>
              <w:ind w:left="738" w:right="-7" w:hanging="425"/>
              <w:contextualSpacing/>
            </w:pPr>
            <w:r w:rsidRPr="00CF0841">
              <w:t xml:space="preserve">Chief Executive and Registrar </w:t>
            </w:r>
          </w:p>
          <w:p w14:paraId="418D73A8" w14:textId="77777777" w:rsidR="00CF0841" w:rsidRPr="00CF0841" w:rsidRDefault="00CF0841" w:rsidP="00CF0841">
            <w:pPr>
              <w:numPr>
                <w:ilvl w:val="0"/>
                <w:numId w:val="20"/>
              </w:numPr>
              <w:spacing w:after="200"/>
              <w:ind w:left="738" w:right="-7" w:hanging="425"/>
              <w:contextualSpacing/>
            </w:pPr>
            <w:r w:rsidRPr="00CF0841">
              <w:t>Relevant members of the Senior Leadership Group (on invitation only basis)</w:t>
            </w:r>
          </w:p>
          <w:p w14:paraId="52009CDA" w14:textId="3D5AEEDC" w:rsidR="00CF0841" w:rsidRPr="00CF0841" w:rsidRDefault="00CF0841" w:rsidP="00F6363A">
            <w:pPr>
              <w:ind w:left="171" w:right="-7"/>
            </w:pPr>
            <w:r w:rsidRPr="00CF0841">
              <w:lastRenderedPageBreak/>
              <w:t xml:space="preserve">The Committee may ask any other member of staff, or such others as may be appropriate, to attend to assist it with its discussions on any </w:t>
            </w:r>
            <w:proofErr w:type="gramStart"/>
            <w:r w:rsidRPr="00CF0841">
              <w:t>particular matter</w:t>
            </w:r>
            <w:proofErr w:type="gramEnd"/>
            <w:r w:rsidRPr="00CF0841">
              <w:t>.</w:t>
            </w:r>
          </w:p>
        </w:tc>
        <w:tc>
          <w:tcPr>
            <w:tcW w:w="6865" w:type="dxa"/>
          </w:tcPr>
          <w:p w14:paraId="7C8E3EF8" w14:textId="77777777" w:rsidR="00CF0841" w:rsidRPr="00CF0841" w:rsidRDefault="00CF0841" w:rsidP="00CF0841">
            <w:r w:rsidRPr="00CF0841">
              <w:lastRenderedPageBreak/>
              <w:t>Members of the Committee in the reporting period have been:</w:t>
            </w:r>
          </w:p>
          <w:p w14:paraId="78129FE2" w14:textId="77777777" w:rsidR="00CF0841" w:rsidRPr="00CF0841" w:rsidRDefault="00CF0841" w:rsidP="00CF0841"/>
          <w:p w14:paraId="7D8CA19A" w14:textId="77777777" w:rsidR="00CF0841" w:rsidRPr="00CF0841" w:rsidRDefault="00CF0841" w:rsidP="00CF0841">
            <w:pPr>
              <w:rPr>
                <w:b/>
                <w:bCs/>
              </w:rPr>
            </w:pPr>
            <w:r w:rsidRPr="00CF0841">
              <w:rPr>
                <w:b/>
                <w:bCs/>
              </w:rPr>
              <w:t>January to May 2020:</w:t>
            </w:r>
          </w:p>
          <w:p w14:paraId="17207E91" w14:textId="77777777" w:rsidR="00CF0841" w:rsidRPr="00CF0841" w:rsidRDefault="00CF0841" w:rsidP="00CF0841">
            <w:r w:rsidRPr="00CF0841">
              <w:t>Derek Bray (Committee Chair)</w:t>
            </w:r>
          </w:p>
          <w:p w14:paraId="54A450A0" w14:textId="659FC0A7" w:rsidR="00CF0841" w:rsidRPr="00CF0841" w:rsidRDefault="00CF0841" w:rsidP="00CF0841">
            <w:r w:rsidRPr="00CF0841">
              <w:t>Alison White</w:t>
            </w:r>
            <w:r w:rsidR="007C1EC7">
              <w:t xml:space="preserve"> (Resigned from the Board 5/6/20)</w:t>
            </w:r>
          </w:p>
          <w:p w14:paraId="3EB5DCB2" w14:textId="77777777" w:rsidR="00CF0841" w:rsidRPr="00CF0841" w:rsidRDefault="00CF0841" w:rsidP="00CF0841">
            <w:r w:rsidRPr="00CF0841">
              <w:t>Stephen McCusker</w:t>
            </w:r>
          </w:p>
          <w:p w14:paraId="61E078F2" w14:textId="77777777" w:rsidR="00CF0841" w:rsidRPr="00CF0841" w:rsidRDefault="00CF0841" w:rsidP="00CF0841">
            <w:r w:rsidRPr="00CF0841">
              <w:t>Ian Muir (Independent Committee Member)</w:t>
            </w:r>
          </w:p>
          <w:p w14:paraId="7B8CC569" w14:textId="77777777" w:rsidR="00CF0841" w:rsidRPr="00CF0841" w:rsidRDefault="00CF0841" w:rsidP="00CF0841"/>
          <w:p w14:paraId="627E43C1" w14:textId="77777777" w:rsidR="00CF0841" w:rsidRPr="00CF0841" w:rsidRDefault="00CF0841" w:rsidP="00CF0841">
            <w:pPr>
              <w:rPr>
                <w:b/>
                <w:bCs/>
              </w:rPr>
            </w:pPr>
            <w:r w:rsidRPr="00CF0841">
              <w:rPr>
                <w:b/>
                <w:bCs/>
              </w:rPr>
              <w:t>June 2020 to present:</w:t>
            </w:r>
          </w:p>
          <w:p w14:paraId="20FA31A2" w14:textId="77777777" w:rsidR="00CF0841" w:rsidRPr="00CF0841" w:rsidRDefault="00CF0841" w:rsidP="00CF0841">
            <w:r w:rsidRPr="00CF0841">
              <w:t>Derek Bray (Committee Chair)</w:t>
            </w:r>
          </w:p>
          <w:p w14:paraId="394EEA9F" w14:textId="77777777" w:rsidR="00CF0841" w:rsidRPr="00CF0841" w:rsidRDefault="00CF0841" w:rsidP="00CF0841">
            <w:r w:rsidRPr="00CF0841">
              <w:t>Alan Kershaw</w:t>
            </w:r>
          </w:p>
          <w:p w14:paraId="238B9647" w14:textId="77777777" w:rsidR="00CF0841" w:rsidRPr="00CF0841" w:rsidRDefault="00CF0841" w:rsidP="00CF0841">
            <w:r w:rsidRPr="00CF0841">
              <w:t>Stephen McCusker</w:t>
            </w:r>
          </w:p>
          <w:p w14:paraId="01EB3EBC" w14:textId="77777777" w:rsidR="00CF0841" w:rsidRDefault="00CF0841" w:rsidP="00CF0841">
            <w:r w:rsidRPr="00CF0841">
              <w:t>Ian Muir (Independent Committee Member)</w:t>
            </w:r>
          </w:p>
          <w:p w14:paraId="7C1B3D24" w14:textId="77777777" w:rsidR="00CF0841" w:rsidRDefault="00CF0841" w:rsidP="00CF0841"/>
          <w:p w14:paraId="3D10E454" w14:textId="10DF88A2" w:rsidR="00CF0841" w:rsidRPr="00CF0841" w:rsidRDefault="00CF0841" w:rsidP="00CF0841">
            <w:r w:rsidRPr="00CF0841">
              <w:t xml:space="preserve">As set out in the covering paper, </w:t>
            </w:r>
            <w:r w:rsidRPr="00CF0841">
              <w:rPr>
                <w:rFonts w:cs="Calibri"/>
              </w:rPr>
              <w:t>Board member Emeritus Professor T Crook attended a section of the 27 May 2020 Committee meeting</w:t>
            </w:r>
            <w:r>
              <w:rPr>
                <w:rFonts w:cs="Calibri"/>
              </w:rPr>
              <w:t>.</w:t>
            </w:r>
          </w:p>
        </w:tc>
      </w:tr>
      <w:tr w:rsidR="00CF0841" w:rsidRPr="00CF0841" w14:paraId="48E946B4" w14:textId="77777777" w:rsidTr="00167D89">
        <w:tc>
          <w:tcPr>
            <w:tcW w:w="13948" w:type="dxa"/>
            <w:gridSpan w:val="2"/>
          </w:tcPr>
          <w:p w14:paraId="42441513" w14:textId="77777777" w:rsidR="00CF0841" w:rsidRPr="00CF0841" w:rsidRDefault="00CF0841" w:rsidP="00CF0841">
            <w:pPr>
              <w:rPr>
                <w:b/>
                <w:bCs/>
              </w:rPr>
            </w:pPr>
            <w:r w:rsidRPr="00CF0841">
              <w:rPr>
                <w:b/>
                <w:bCs/>
              </w:rPr>
              <w:t>Quorum</w:t>
            </w:r>
          </w:p>
        </w:tc>
      </w:tr>
      <w:tr w:rsidR="00CF0841" w:rsidRPr="00CF0841" w14:paraId="2CF0BC9C" w14:textId="77777777" w:rsidTr="00167D89">
        <w:tc>
          <w:tcPr>
            <w:tcW w:w="7083" w:type="dxa"/>
          </w:tcPr>
          <w:p w14:paraId="384A4833" w14:textId="77777777" w:rsidR="00CF0841" w:rsidRPr="00CF0841" w:rsidRDefault="00CF0841" w:rsidP="00CF0841">
            <w:pPr>
              <w:ind w:right="-7"/>
            </w:pPr>
            <w:r w:rsidRPr="00CF0841">
              <w:t>The quorum of the Remuneration and Appointments Committee should not be less than two members of the Committee.</w:t>
            </w:r>
          </w:p>
          <w:p w14:paraId="14C09A15" w14:textId="77777777" w:rsidR="00CF0841" w:rsidRPr="00CF0841" w:rsidRDefault="00CF0841" w:rsidP="00CF0841"/>
        </w:tc>
        <w:tc>
          <w:tcPr>
            <w:tcW w:w="6865" w:type="dxa"/>
          </w:tcPr>
          <w:p w14:paraId="3BE3CB08" w14:textId="77777777" w:rsidR="00CF0841" w:rsidRPr="00CF0841" w:rsidRDefault="00CF0841" w:rsidP="00CF0841">
            <w:r w:rsidRPr="00CF0841">
              <w:t>All meetings of the Remuneration and Appointments Committee have been quorate.</w:t>
            </w:r>
          </w:p>
        </w:tc>
      </w:tr>
      <w:tr w:rsidR="00CF0841" w:rsidRPr="00CF0841" w14:paraId="2041FAED" w14:textId="77777777" w:rsidTr="00167D89">
        <w:tc>
          <w:tcPr>
            <w:tcW w:w="13948" w:type="dxa"/>
            <w:gridSpan w:val="2"/>
          </w:tcPr>
          <w:p w14:paraId="2A808A2F" w14:textId="77777777" w:rsidR="00CF0841" w:rsidRPr="00CF0841" w:rsidRDefault="00CF0841" w:rsidP="00CF0841">
            <w:r w:rsidRPr="00CF0841">
              <w:rPr>
                <w:b/>
                <w:bCs/>
              </w:rPr>
              <w:t>Meetings and Procedures</w:t>
            </w:r>
          </w:p>
        </w:tc>
      </w:tr>
      <w:tr w:rsidR="00CF0841" w:rsidRPr="00CF0841" w14:paraId="14B2629C" w14:textId="77777777" w:rsidTr="00167D89">
        <w:tc>
          <w:tcPr>
            <w:tcW w:w="7083" w:type="dxa"/>
          </w:tcPr>
          <w:p w14:paraId="1E442560" w14:textId="77777777" w:rsidR="00CF0841" w:rsidRPr="00CF0841" w:rsidRDefault="00CF0841" w:rsidP="00CF0841">
            <w:pPr>
              <w:ind w:right="-7"/>
            </w:pPr>
            <w:r w:rsidRPr="00CF0841">
              <w:t>The Committee will meet up to four times per year.</w:t>
            </w:r>
          </w:p>
          <w:p w14:paraId="375A8E18" w14:textId="77777777" w:rsidR="00CF0841" w:rsidRPr="00CF0841" w:rsidRDefault="00CF0841" w:rsidP="00CF0841"/>
        </w:tc>
        <w:tc>
          <w:tcPr>
            <w:tcW w:w="6865" w:type="dxa"/>
          </w:tcPr>
          <w:p w14:paraId="280A0DBB" w14:textId="1EEA7E0C" w:rsidR="00CF0841" w:rsidRPr="00CF0841" w:rsidRDefault="00CF0841" w:rsidP="00CF0841">
            <w:r w:rsidRPr="00CF0841">
              <w:t>In 2020, the Committee met six times, higher than the Terms of Reference set out.  Two of those meetings related to the resignation of the CEO</w:t>
            </w:r>
            <w:r w:rsidR="0025232D">
              <w:t xml:space="preserve"> and Board Chair</w:t>
            </w:r>
            <w:r w:rsidRPr="00CF0841">
              <w:t xml:space="preserve">. </w:t>
            </w:r>
          </w:p>
          <w:p w14:paraId="24BD7EB3" w14:textId="77777777" w:rsidR="00CF0841" w:rsidRPr="00CF0841" w:rsidRDefault="00CF0841" w:rsidP="00CF0841"/>
        </w:tc>
      </w:tr>
      <w:tr w:rsidR="00CF0841" w:rsidRPr="00CF0841" w14:paraId="64B0E0E7" w14:textId="77777777" w:rsidTr="00167D89">
        <w:tc>
          <w:tcPr>
            <w:tcW w:w="13948" w:type="dxa"/>
            <w:gridSpan w:val="2"/>
          </w:tcPr>
          <w:p w14:paraId="1A7DBC63" w14:textId="77777777" w:rsidR="00CF0841" w:rsidRPr="00CF0841" w:rsidRDefault="00CF0841" w:rsidP="00CF0841">
            <w:r w:rsidRPr="00CF0841">
              <w:rPr>
                <w:b/>
                <w:bCs/>
              </w:rPr>
              <w:t>Reporting Requirements</w:t>
            </w:r>
          </w:p>
        </w:tc>
      </w:tr>
      <w:tr w:rsidR="00CF0841" w:rsidRPr="00CF0841" w14:paraId="289FAA1A" w14:textId="77777777" w:rsidTr="00167D89">
        <w:tc>
          <w:tcPr>
            <w:tcW w:w="7083" w:type="dxa"/>
          </w:tcPr>
          <w:p w14:paraId="70B0EDEF" w14:textId="77777777" w:rsidR="00CF0841" w:rsidRPr="00CF0841" w:rsidRDefault="00CF0841" w:rsidP="00CF0841">
            <w:pPr>
              <w:ind w:left="29" w:right="-7"/>
            </w:pPr>
            <w:r w:rsidRPr="00CF0841">
              <w:t xml:space="preserve">The minute taker, who will be </w:t>
            </w:r>
            <w:r w:rsidRPr="00CF0841">
              <w:rPr>
                <w:iCs/>
              </w:rPr>
              <w:t>the Director of Finance and Resources or in their absence, an alternate member of the Executive</w:t>
            </w:r>
            <w:r w:rsidRPr="00CF0841">
              <w:t xml:space="preserve">, will circulate the minutes to the next Board meeting. The Chair will provide an annual report on the Committee’s work to the </w:t>
            </w:r>
            <w:proofErr w:type="gramStart"/>
            <w:r w:rsidRPr="00CF0841">
              <w:t>Board, and</w:t>
            </w:r>
            <w:proofErr w:type="gramEnd"/>
            <w:r w:rsidRPr="00CF0841">
              <w:t xml:space="preserve"> review the performance of the independent member. </w:t>
            </w:r>
          </w:p>
          <w:p w14:paraId="4EA4D8DE" w14:textId="77777777" w:rsidR="00CF0841" w:rsidRPr="00CF0841" w:rsidRDefault="00CF0841" w:rsidP="00CF0841"/>
        </w:tc>
        <w:tc>
          <w:tcPr>
            <w:tcW w:w="6865" w:type="dxa"/>
          </w:tcPr>
          <w:p w14:paraId="25209DFB" w14:textId="77777777" w:rsidR="00CF0841" w:rsidRPr="00CF0841" w:rsidRDefault="00CF0841" w:rsidP="00CF0841">
            <w:r w:rsidRPr="00CF0841">
              <w:t xml:space="preserve">Minutes have been presented to the Board following each Committee meeting. </w:t>
            </w:r>
          </w:p>
          <w:p w14:paraId="6F597E26" w14:textId="77777777" w:rsidR="00CF0841" w:rsidRPr="00CF0841" w:rsidRDefault="00CF0841" w:rsidP="00CF0841"/>
          <w:p w14:paraId="57495B15" w14:textId="77777777" w:rsidR="00CF0841" w:rsidRPr="00CF0841" w:rsidRDefault="00CF0841" w:rsidP="00CF0841">
            <w:r w:rsidRPr="00CF0841">
              <w:t>This has been the first written annual report of the Committee since 2019, regular reports have been made verbally to the Board alongside the presentation of minutes.</w:t>
            </w:r>
          </w:p>
          <w:p w14:paraId="34382865" w14:textId="77777777" w:rsidR="00CF0841" w:rsidRPr="00CF0841" w:rsidRDefault="00CF0841" w:rsidP="00CF0841"/>
          <w:p w14:paraId="69727684" w14:textId="2CF7EB9F" w:rsidR="00CF0841" w:rsidRPr="00CF0841" w:rsidRDefault="00CF0841" w:rsidP="00CF0841">
            <w:r w:rsidRPr="00CF0841">
              <w:t>The Committee Chair carried out an annual review with the Independent Committee member in September 202</w:t>
            </w:r>
            <w:r w:rsidR="00F05DBB">
              <w:t>0</w:t>
            </w:r>
            <w:r w:rsidRPr="00CF0841">
              <w:t>.</w:t>
            </w:r>
          </w:p>
          <w:p w14:paraId="67399F43" w14:textId="77777777" w:rsidR="00CF0841" w:rsidRPr="00CF0841" w:rsidRDefault="00CF0841" w:rsidP="00CF0841">
            <w:r w:rsidRPr="00CF0841">
              <w:t xml:space="preserve"> </w:t>
            </w:r>
          </w:p>
        </w:tc>
      </w:tr>
      <w:tr w:rsidR="00CF0841" w:rsidRPr="00CF0841" w14:paraId="07A7E7BB" w14:textId="77777777" w:rsidTr="00167D89">
        <w:tc>
          <w:tcPr>
            <w:tcW w:w="13948" w:type="dxa"/>
            <w:gridSpan w:val="2"/>
          </w:tcPr>
          <w:p w14:paraId="104D7C58" w14:textId="77777777" w:rsidR="00CF0841" w:rsidRPr="00CF0841" w:rsidRDefault="00CF0841" w:rsidP="00CF0841">
            <w:r w:rsidRPr="00CF0841">
              <w:rPr>
                <w:b/>
                <w:bCs/>
              </w:rPr>
              <w:t>Papers and Agendas</w:t>
            </w:r>
          </w:p>
        </w:tc>
      </w:tr>
      <w:tr w:rsidR="00CF0841" w:rsidRPr="00CF0841" w14:paraId="1E4F01C4" w14:textId="77777777" w:rsidTr="00167D89">
        <w:tc>
          <w:tcPr>
            <w:tcW w:w="7083" w:type="dxa"/>
          </w:tcPr>
          <w:p w14:paraId="4F71A768" w14:textId="77777777" w:rsidR="00CF0841" w:rsidRPr="00CF0841" w:rsidRDefault="00CF0841" w:rsidP="00CF0841">
            <w:pPr>
              <w:ind w:left="29" w:right="-7"/>
            </w:pPr>
            <w:r w:rsidRPr="00CF0841">
              <w:t xml:space="preserve">The Executive shall circulate the agenda and papers five working days before each meeting.  The minute taker will circulate the minutes of all meetings to both the members and attendees of the </w:t>
            </w:r>
            <w:proofErr w:type="gramStart"/>
            <w:r w:rsidRPr="00CF0841">
              <w:t>Committee, once</w:t>
            </w:r>
            <w:proofErr w:type="gramEnd"/>
            <w:r w:rsidRPr="00CF0841">
              <w:t xml:space="preserve"> they have been approved by the Chair.</w:t>
            </w:r>
          </w:p>
          <w:p w14:paraId="56301CA4" w14:textId="77777777" w:rsidR="00CF0841" w:rsidRPr="00CF0841" w:rsidRDefault="00CF0841" w:rsidP="00CF0841"/>
        </w:tc>
        <w:tc>
          <w:tcPr>
            <w:tcW w:w="6865" w:type="dxa"/>
          </w:tcPr>
          <w:p w14:paraId="0EC7B3F2" w14:textId="77777777" w:rsidR="00CF0841" w:rsidRPr="00CF0841" w:rsidRDefault="00CF0841" w:rsidP="00CF0841">
            <w:r w:rsidRPr="00CF0841">
              <w:t>This has been complied with throughout the reporting period.</w:t>
            </w:r>
          </w:p>
        </w:tc>
      </w:tr>
      <w:tr w:rsidR="00CF0841" w:rsidRPr="00CF0841" w14:paraId="16A6BA79" w14:textId="77777777" w:rsidTr="00167D89">
        <w:tc>
          <w:tcPr>
            <w:tcW w:w="13948" w:type="dxa"/>
            <w:gridSpan w:val="2"/>
          </w:tcPr>
          <w:p w14:paraId="58036E2E" w14:textId="77777777" w:rsidR="00CF0841" w:rsidRPr="00CF0841" w:rsidRDefault="00CF0841" w:rsidP="00CF0841">
            <w:r w:rsidRPr="00CF0841">
              <w:rPr>
                <w:b/>
                <w:bCs/>
              </w:rPr>
              <w:t>Conflicts of Interest</w:t>
            </w:r>
          </w:p>
        </w:tc>
      </w:tr>
      <w:tr w:rsidR="00CF0841" w:rsidRPr="00CF0841" w14:paraId="4CD4E6F6" w14:textId="77777777" w:rsidTr="00167D89">
        <w:tc>
          <w:tcPr>
            <w:tcW w:w="7083" w:type="dxa"/>
          </w:tcPr>
          <w:p w14:paraId="154C6CAE" w14:textId="77777777" w:rsidR="00CF0841" w:rsidRPr="00CF0841" w:rsidRDefault="00CF0841" w:rsidP="00CF0841">
            <w:pPr>
              <w:ind w:left="29" w:right="-7"/>
            </w:pPr>
            <w:r w:rsidRPr="00CF0841">
              <w:t xml:space="preserve">Any member or attendee of the Committee who becomes aware of a potential conflict of interest, relating to matters being discussed by the Committee, should give prior notification to the Chair and the Registrar and Chief Executive.  If this is not possible, they should declare this at the start </w:t>
            </w:r>
            <w:r w:rsidRPr="00CF0841">
              <w:lastRenderedPageBreak/>
              <w:t>of the meeting and, where necessary, withdraw during the discussion of the relevant agenda item.</w:t>
            </w:r>
          </w:p>
          <w:p w14:paraId="2FF215F2" w14:textId="77777777" w:rsidR="00CF0841" w:rsidRPr="00CF0841" w:rsidRDefault="00CF0841" w:rsidP="00CF0841"/>
        </w:tc>
        <w:tc>
          <w:tcPr>
            <w:tcW w:w="6865" w:type="dxa"/>
          </w:tcPr>
          <w:p w14:paraId="7540AA5F" w14:textId="77777777" w:rsidR="00CF0841" w:rsidRPr="00CF0841" w:rsidRDefault="00CF0841" w:rsidP="00CF0841">
            <w:r w:rsidRPr="00CF0841">
              <w:lastRenderedPageBreak/>
              <w:t>Conflicts are requested at the start of each meeting.</w:t>
            </w:r>
          </w:p>
        </w:tc>
      </w:tr>
    </w:tbl>
    <w:p w14:paraId="0C53167B" w14:textId="77777777" w:rsidR="00CF0841" w:rsidRPr="00CF0841" w:rsidRDefault="00CF0841" w:rsidP="00CF0841"/>
    <w:sectPr w:rsidR="00CF0841" w:rsidRPr="00CF0841" w:rsidSect="00450296">
      <w:pgSz w:w="16838" w:h="11906" w:orient="landscape" w:code="9"/>
      <w:pgMar w:top="1134" w:right="567" w:bottom="1134" w:left="1134" w:header="720" w:footer="28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0F341" w14:textId="77777777" w:rsidR="00F9469D" w:rsidRDefault="00F9469D">
      <w:r>
        <w:separator/>
      </w:r>
    </w:p>
  </w:endnote>
  <w:endnote w:type="continuationSeparator" w:id="0">
    <w:p w14:paraId="5641E734" w14:textId="77777777" w:rsidR="00F9469D" w:rsidRDefault="00F94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65 Medium">
    <w:altName w:val="Vrinda"/>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NeueLT Std Lt">
    <w:altName w:val="Trebuchet MS"/>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4D811" w14:textId="4BEA12B7" w:rsidR="00DC6A16" w:rsidRPr="00DC6A16" w:rsidRDefault="0025232D" w:rsidP="00DC6A16">
    <w:pPr>
      <w:pStyle w:val="Footer"/>
      <w:rPr>
        <w:rFonts w:asciiTheme="minorHAnsi" w:hAnsiTheme="minorHAnsi" w:cstheme="minorHAnsi"/>
      </w:rPr>
    </w:pPr>
    <w:r>
      <w:rPr>
        <w:rFonts w:asciiTheme="minorHAnsi" w:hAnsiTheme="minorHAnsi" w:cstheme="minorHAnsi"/>
      </w:rPr>
      <w:t>Board Meeting</w:t>
    </w:r>
  </w:p>
  <w:p w14:paraId="4DC1B734" w14:textId="00412844" w:rsidR="00DC6A16" w:rsidRDefault="0025232D" w:rsidP="00DC6A16">
    <w:pPr>
      <w:pStyle w:val="Footer"/>
      <w:rPr>
        <w:rFonts w:asciiTheme="minorHAnsi" w:hAnsiTheme="minorHAnsi" w:cstheme="minorHAnsi"/>
      </w:rPr>
    </w:pPr>
    <w:r>
      <w:rPr>
        <w:rFonts w:asciiTheme="minorHAnsi" w:hAnsiTheme="minorHAnsi" w:cstheme="minorHAnsi"/>
      </w:rPr>
      <w:t xml:space="preserve">21 July </w:t>
    </w:r>
    <w:r w:rsidR="00DC6A16" w:rsidRPr="00DC6A16">
      <w:rPr>
        <w:rFonts w:asciiTheme="minorHAnsi" w:hAnsiTheme="minorHAnsi" w:cstheme="minorHAnsi"/>
      </w:rPr>
      <w:t>2021</w:t>
    </w:r>
  </w:p>
  <w:p w14:paraId="5EB2607D" w14:textId="425A9D6F" w:rsidR="0025232D" w:rsidRPr="00DC6A16" w:rsidRDefault="0025232D" w:rsidP="00DC6A16">
    <w:pPr>
      <w:pStyle w:val="Footer"/>
      <w:rPr>
        <w:rFonts w:asciiTheme="minorHAnsi" w:hAnsiTheme="minorHAnsi" w:cstheme="minorHAnsi"/>
      </w:rPr>
    </w:pPr>
    <w:r>
      <w:rPr>
        <w:rFonts w:asciiTheme="minorHAnsi" w:hAnsiTheme="minorHAnsi" w:cstheme="minorHAnsi"/>
      </w:rPr>
      <w:t>Open Session</w:t>
    </w:r>
  </w:p>
  <w:p w14:paraId="02315EA9" w14:textId="77777777" w:rsidR="00DC6A16" w:rsidRDefault="00DC6A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A01F5" w14:textId="77777777" w:rsidR="0025232D" w:rsidRPr="00DC6A16" w:rsidRDefault="0025232D" w:rsidP="0025232D">
    <w:pPr>
      <w:pStyle w:val="Footer"/>
      <w:rPr>
        <w:rFonts w:asciiTheme="minorHAnsi" w:hAnsiTheme="minorHAnsi" w:cstheme="minorHAnsi"/>
      </w:rPr>
    </w:pPr>
    <w:r>
      <w:rPr>
        <w:rFonts w:asciiTheme="minorHAnsi" w:hAnsiTheme="minorHAnsi" w:cstheme="minorHAnsi"/>
      </w:rPr>
      <w:t>Board Meeting</w:t>
    </w:r>
  </w:p>
  <w:p w14:paraId="3109F869" w14:textId="77777777" w:rsidR="0025232D" w:rsidRDefault="0025232D" w:rsidP="0025232D">
    <w:pPr>
      <w:pStyle w:val="Footer"/>
      <w:rPr>
        <w:rFonts w:asciiTheme="minorHAnsi" w:hAnsiTheme="minorHAnsi" w:cstheme="minorHAnsi"/>
      </w:rPr>
    </w:pPr>
    <w:r>
      <w:rPr>
        <w:rFonts w:asciiTheme="minorHAnsi" w:hAnsiTheme="minorHAnsi" w:cstheme="minorHAnsi"/>
      </w:rPr>
      <w:t xml:space="preserve">21 July </w:t>
    </w:r>
    <w:r w:rsidRPr="00DC6A16">
      <w:rPr>
        <w:rFonts w:asciiTheme="minorHAnsi" w:hAnsiTheme="minorHAnsi" w:cstheme="minorHAnsi"/>
      </w:rPr>
      <w:t>2021</w:t>
    </w:r>
  </w:p>
  <w:p w14:paraId="668B96E7" w14:textId="77777777" w:rsidR="0025232D" w:rsidRPr="00DC6A16" w:rsidRDefault="0025232D" w:rsidP="0025232D">
    <w:pPr>
      <w:pStyle w:val="Footer"/>
      <w:rPr>
        <w:rFonts w:asciiTheme="minorHAnsi" w:hAnsiTheme="minorHAnsi" w:cstheme="minorHAnsi"/>
      </w:rPr>
    </w:pPr>
    <w:r>
      <w:rPr>
        <w:rFonts w:asciiTheme="minorHAnsi" w:hAnsiTheme="minorHAnsi" w:cstheme="minorHAnsi"/>
      </w:rPr>
      <w:t>Open Session</w:t>
    </w:r>
  </w:p>
  <w:p w14:paraId="1B9AFFC1" w14:textId="32CC9417" w:rsidR="00DC6A16" w:rsidRPr="0025232D" w:rsidRDefault="00DC6A16" w:rsidP="002523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259DB" w14:textId="77777777" w:rsidR="00F9469D" w:rsidRDefault="00F9469D">
      <w:r>
        <w:separator/>
      </w:r>
    </w:p>
  </w:footnote>
  <w:footnote w:type="continuationSeparator" w:id="0">
    <w:p w14:paraId="294F8153" w14:textId="77777777" w:rsidR="00F9469D" w:rsidRDefault="00F94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95A3B" w14:textId="26B7C5C2" w:rsidR="00CB12C8" w:rsidRDefault="00E02CD0" w:rsidP="005D5486">
    <w:pPr>
      <w:tabs>
        <w:tab w:val="left" w:pos="1134"/>
      </w:tabs>
      <w:ind w:left="567" w:hanging="567"/>
      <w:jc w:val="right"/>
      <w:rPr>
        <w:rFonts w:ascii="Calibri" w:hAnsi="Calibri" w:cs="Calibri"/>
        <w:b/>
        <w:sz w:val="24"/>
        <w:szCs w:val="24"/>
      </w:rPr>
    </w:pPr>
    <w:r w:rsidRPr="000273C9">
      <w:rPr>
        <w:rFonts w:ascii="Calibri" w:hAnsi="Calibri" w:cs="Calibri"/>
        <w:b/>
        <w:sz w:val="24"/>
        <w:szCs w:val="24"/>
      </w:rPr>
      <w:t>Continuation of agenda item</w:t>
    </w:r>
    <w:r w:rsidRPr="000273C9">
      <w:rPr>
        <w:rFonts w:ascii="Calibri" w:hAnsi="Calibri" w:cs="Calibri"/>
        <w:b/>
        <w:sz w:val="24"/>
        <w:szCs w:val="24"/>
      </w:rPr>
      <w:fldChar w:fldCharType="begin"/>
    </w:r>
    <w:r w:rsidRPr="000273C9">
      <w:rPr>
        <w:rFonts w:ascii="Calibri" w:hAnsi="Calibri" w:cs="Calibri"/>
        <w:b/>
        <w:sz w:val="24"/>
        <w:szCs w:val="24"/>
      </w:rPr>
      <w:instrText xml:space="preserve"> QUOTE   \* MERGEFORMAT </w:instrText>
    </w:r>
    <w:r w:rsidRPr="000273C9">
      <w:rPr>
        <w:rFonts w:ascii="Calibri" w:hAnsi="Calibri" w:cs="Calibri"/>
        <w:b/>
        <w:sz w:val="24"/>
        <w:szCs w:val="24"/>
      </w:rPr>
      <w:fldChar w:fldCharType="end"/>
    </w:r>
    <w:r w:rsidR="0052532D">
      <w:rPr>
        <w:rFonts w:ascii="Calibri" w:hAnsi="Calibri" w:cs="Calibri"/>
        <w:b/>
        <w:sz w:val="24"/>
        <w:szCs w:val="24"/>
      </w:rPr>
      <w:t xml:space="preserve"> </w:t>
    </w:r>
    <w:r w:rsidR="0025232D">
      <w:rPr>
        <w:rFonts w:ascii="Calibri" w:hAnsi="Calibri" w:cs="Calibri"/>
        <w:b/>
        <w:sz w:val="24"/>
        <w:szCs w:val="24"/>
      </w:rPr>
      <w:t>10</w:t>
    </w:r>
  </w:p>
  <w:p w14:paraId="7B078B5B" w14:textId="77777777" w:rsidR="00E02CD0" w:rsidRPr="000273C9" w:rsidRDefault="00E02CD0" w:rsidP="005D5486">
    <w:pPr>
      <w:tabs>
        <w:tab w:val="left" w:pos="1134"/>
      </w:tabs>
      <w:ind w:left="567" w:hanging="567"/>
      <w:jc w:val="right"/>
      <w:rPr>
        <w:rFonts w:ascii="Calibri" w:hAnsi="Calibri" w:cs="Calibri"/>
        <w:b/>
        <w:sz w:val="24"/>
        <w:szCs w:val="24"/>
      </w:rPr>
    </w:pPr>
    <w:r w:rsidRPr="000273C9">
      <w:rPr>
        <w:rFonts w:ascii="Calibri" w:hAnsi="Calibri" w:cs="Calibri"/>
        <w:b/>
        <w:sz w:val="24"/>
        <w:szCs w:val="24"/>
      </w:rPr>
      <w:fldChar w:fldCharType="begin"/>
    </w:r>
    <w:r w:rsidRPr="000273C9">
      <w:rPr>
        <w:rFonts w:ascii="Calibri" w:hAnsi="Calibri" w:cs="Calibri"/>
        <w:b/>
        <w:sz w:val="24"/>
        <w:szCs w:val="24"/>
      </w:rPr>
      <w:instrText xml:space="preserve"> QUOTE   \* MERGEFORMAT </w:instrText>
    </w:r>
    <w:r w:rsidRPr="000273C9">
      <w:rPr>
        <w:rFonts w:ascii="Calibri" w:hAnsi="Calibri" w:cs="Calibri"/>
        <w:b/>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76139"/>
    <w:multiLevelType w:val="hybridMultilevel"/>
    <w:tmpl w:val="801E633A"/>
    <w:lvl w:ilvl="0" w:tplc="2AFC8E7E">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88742A"/>
    <w:multiLevelType w:val="hybridMultilevel"/>
    <w:tmpl w:val="373417FE"/>
    <w:lvl w:ilvl="0" w:tplc="2AFC8E7E">
      <w:start w:val="1"/>
      <w:numFmt w:val="bullet"/>
      <w:lvlText w:val=""/>
      <w:lvlJc w:val="left"/>
      <w:pPr>
        <w:ind w:left="754" w:hanging="360"/>
      </w:pPr>
      <w:rPr>
        <w:rFonts w:ascii="Wingdings" w:hAnsi="Wingdings" w:hint="default"/>
        <w:color w:val="auto"/>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 w15:restartNumberingAfterBreak="0">
    <w:nsid w:val="13BD00F1"/>
    <w:multiLevelType w:val="hybridMultilevel"/>
    <w:tmpl w:val="9E8E4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17342"/>
    <w:multiLevelType w:val="hybridMultilevel"/>
    <w:tmpl w:val="E356E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C415C"/>
    <w:multiLevelType w:val="hybridMultilevel"/>
    <w:tmpl w:val="2E3C3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DC46C4"/>
    <w:multiLevelType w:val="hybridMultilevel"/>
    <w:tmpl w:val="F2809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A00FA9"/>
    <w:multiLevelType w:val="hybridMultilevel"/>
    <w:tmpl w:val="E66EC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6B68B7"/>
    <w:multiLevelType w:val="hybridMultilevel"/>
    <w:tmpl w:val="0344A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6C2745"/>
    <w:multiLevelType w:val="hybridMultilevel"/>
    <w:tmpl w:val="824AF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2A673A"/>
    <w:multiLevelType w:val="hybridMultilevel"/>
    <w:tmpl w:val="05E0B7AE"/>
    <w:lvl w:ilvl="0" w:tplc="EF2CFE72">
      <w:start w:val="1"/>
      <w:numFmt w:val="lowerRoman"/>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D4046AD"/>
    <w:multiLevelType w:val="hybridMultilevel"/>
    <w:tmpl w:val="4858DB38"/>
    <w:lvl w:ilvl="0" w:tplc="EF2CFE72">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3561B1"/>
    <w:multiLevelType w:val="hybridMultilevel"/>
    <w:tmpl w:val="03646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436887"/>
    <w:multiLevelType w:val="hybridMultilevel"/>
    <w:tmpl w:val="A8F40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ED47DA"/>
    <w:multiLevelType w:val="hybridMultilevel"/>
    <w:tmpl w:val="56626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4F2BDD"/>
    <w:multiLevelType w:val="hybridMultilevel"/>
    <w:tmpl w:val="D7C89AB6"/>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5" w15:restartNumberingAfterBreak="0">
    <w:nsid w:val="5C16124A"/>
    <w:multiLevelType w:val="hybridMultilevel"/>
    <w:tmpl w:val="96A26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39126E"/>
    <w:multiLevelType w:val="hybridMultilevel"/>
    <w:tmpl w:val="B9906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8B6D63"/>
    <w:multiLevelType w:val="hybridMultilevel"/>
    <w:tmpl w:val="95DCA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25551B"/>
    <w:multiLevelType w:val="hybridMultilevel"/>
    <w:tmpl w:val="653E5D3E"/>
    <w:lvl w:ilvl="0" w:tplc="41C4894C">
      <w:start w:val="1"/>
      <w:numFmt w:val="lowerRoman"/>
      <w:lvlText w:val="%1."/>
      <w:lvlJc w:val="right"/>
      <w:pPr>
        <w:tabs>
          <w:tab w:val="num" w:pos="340"/>
        </w:tabs>
        <w:ind w:left="340" w:hanging="52"/>
      </w:pPr>
      <w:rPr>
        <w:rFonts w:ascii="Helvetica 65 Medium" w:hAnsi="Helvetica 65 Medium"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C3A3D5A"/>
    <w:multiLevelType w:val="hybridMultilevel"/>
    <w:tmpl w:val="E4C285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5F2698"/>
    <w:multiLevelType w:val="hybridMultilevel"/>
    <w:tmpl w:val="89226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A974C9"/>
    <w:multiLevelType w:val="hybridMultilevel"/>
    <w:tmpl w:val="0BB8C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9"/>
  </w:num>
  <w:num w:numId="4">
    <w:abstractNumId w:val="0"/>
  </w:num>
  <w:num w:numId="5">
    <w:abstractNumId w:val="11"/>
  </w:num>
  <w:num w:numId="6">
    <w:abstractNumId w:val="1"/>
  </w:num>
  <w:num w:numId="7">
    <w:abstractNumId w:val="2"/>
  </w:num>
  <w:num w:numId="8">
    <w:abstractNumId w:val="19"/>
  </w:num>
  <w:num w:numId="9">
    <w:abstractNumId w:val="3"/>
  </w:num>
  <w:num w:numId="10">
    <w:abstractNumId w:val="8"/>
  </w:num>
  <w:num w:numId="11">
    <w:abstractNumId w:val="16"/>
  </w:num>
  <w:num w:numId="12">
    <w:abstractNumId w:val="17"/>
  </w:num>
  <w:num w:numId="13">
    <w:abstractNumId w:val="7"/>
  </w:num>
  <w:num w:numId="14">
    <w:abstractNumId w:val="6"/>
  </w:num>
  <w:num w:numId="15">
    <w:abstractNumId w:val="15"/>
  </w:num>
  <w:num w:numId="16">
    <w:abstractNumId w:val="13"/>
  </w:num>
  <w:num w:numId="17">
    <w:abstractNumId w:val="4"/>
  </w:num>
  <w:num w:numId="18">
    <w:abstractNumId w:val="21"/>
  </w:num>
  <w:num w:numId="19">
    <w:abstractNumId w:val="5"/>
  </w:num>
  <w:num w:numId="20">
    <w:abstractNumId w:val="14"/>
  </w:num>
  <w:num w:numId="21">
    <w:abstractNumId w:val="12"/>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390"/>
    <w:rsid w:val="000015F4"/>
    <w:rsid w:val="000044D8"/>
    <w:rsid w:val="00010196"/>
    <w:rsid w:val="00011CD5"/>
    <w:rsid w:val="0001471C"/>
    <w:rsid w:val="000205C1"/>
    <w:rsid w:val="000273C9"/>
    <w:rsid w:val="0003256F"/>
    <w:rsid w:val="00034550"/>
    <w:rsid w:val="00041C07"/>
    <w:rsid w:val="00043BD3"/>
    <w:rsid w:val="000473AD"/>
    <w:rsid w:val="000552AB"/>
    <w:rsid w:val="00061DAD"/>
    <w:rsid w:val="00062314"/>
    <w:rsid w:val="0006597F"/>
    <w:rsid w:val="00083A8D"/>
    <w:rsid w:val="000A63A2"/>
    <w:rsid w:val="000B1255"/>
    <w:rsid w:val="000B398B"/>
    <w:rsid w:val="000B3E13"/>
    <w:rsid w:val="000B557E"/>
    <w:rsid w:val="000C067C"/>
    <w:rsid w:val="000C2081"/>
    <w:rsid w:val="000C6544"/>
    <w:rsid w:val="000D1D67"/>
    <w:rsid w:val="000E5497"/>
    <w:rsid w:val="000E6913"/>
    <w:rsid w:val="000F777A"/>
    <w:rsid w:val="000F7C8F"/>
    <w:rsid w:val="00101B16"/>
    <w:rsid w:val="00102268"/>
    <w:rsid w:val="00102A9F"/>
    <w:rsid w:val="00104CBF"/>
    <w:rsid w:val="00104F3E"/>
    <w:rsid w:val="001207EE"/>
    <w:rsid w:val="00121212"/>
    <w:rsid w:val="0012207C"/>
    <w:rsid w:val="0012250C"/>
    <w:rsid w:val="00123AC3"/>
    <w:rsid w:val="00131386"/>
    <w:rsid w:val="00151E18"/>
    <w:rsid w:val="00152D63"/>
    <w:rsid w:val="0015319D"/>
    <w:rsid w:val="00155129"/>
    <w:rsid w:val="00161481"/>
    <w:rsid w:val="001628F6"/>
    <w:rsid w:val="0016390A"/>
    <w:rsid w:val="00171D28"/>
    <w:rsid w:val="0019191A"/>
    <w:rsid w:val="001977EC"/>
    <w:rsid w:val="001A6473"/>
    <w:rsid w:val="001B1863"/>
    <w:rsid w:val="001C428C"/>
    <w:rsid w:val="001C7190"/>
    <w:rsid w:val="001D0D64"/>
    <w:rsid w:val="001D75B7"/>
    <w:rsid w:val="001E021C"/>
    <w:rsid w:val="001E08E6"/>
    <w:rsid w:val="001E391A"/>
    <w:rsid w:val="001F1224"/>
    <w:rsid w:val="001F71B4"/>
    <w:rsid w:val="00204310"/>
    <w:rsid w:val="00205D29"/>
    <w:rsid w:val="00211D96"/>
    <w:rsid w:val="002162CF"/>
    <w:rsid w:val="00220D76"/>
    <w:rsid w:val="00222837"/>
    <w:rsid w:val="0022306A"/>
    <w:rsid w:val="00223854"/>
    <w:rsid w:val="002238C2"/>
    <w:rsid w:val="00224922"/>
    <w:rsid w:val="00224BEA"/>
    <w:rsid w:val="00233502"/>
    <w:rsid w:val="0023390E"/>
    <w:rsid w:val="00233E1C"/>
    <w:rsid w:val="00241CB9"/>
    <w:rsid w:val="00241E2E"/>
    <w:rsid w:val="002438DB"/>
    <w:rsid w:val="00245438"/>
    <w:rsid w:val="0025232D"/>
    <w:rsid w:val="002525C0"/>
    <w:rsid w:val="00254562"/>
    <w:rsid w:val="002667A5"/>
    <w:rsid w:val="0027225E"/>
    <w:rsid w:val="00274D73"/>
    <w:rsid w:val="002818DB"/>
    <w:rsid w:val="00282D59"/>
    <w:rsid w:val="00290707"/>
    <w:rsid w:val="002925A2"/>
    <w:rsid w:val="002B202B"/>
    <w:rsid w:val="002C17B9"/>
    <w:rsid w:val="002C4F8D"/>
    <w:rsid w:val="00301823"/>
    <w:rsid w:val="00306131"/>
    <w:rsid w:val="0031202A"/>
    <w:rsid w:val="00323AA7"/>
    <w:rsid w:val="003245B5"/>
    <w:rsid w:val="003251AC"/>
    <w:rsid w:val="003339C7"/>
    <w:rsid w:val="003342C9"/>
    <w:rsid w:val="00341A53"/>
    <w:rsid w:val="003462CB"/>
    <w:rsid w:val="0035263D"/>
    <w:rsid w:val="00353BB5"/>
    <w:rsid w:val="00354A0D"/>
    <w:rsid w:val="00361FD2"/>
    <w:rsid w:val="003659ED"/>
    <w:rsid w:val="00371372"/>
    <w:rsid w:val="00373B52"/>
    <w:rsid w:val="003767D4"/>
    <w:rsid w:val="00380116"/>
    <w:rsid w:val="00382017"/>
    <w:rsid w:val="003854D9"/>
    <w:rsid w:val="00395611"/>
    <w:rsid w:val="003A10E2"/>
    <w:rsid w:val="003A54E0"/>
    <w:rsid w:val="003A5898"/>
    <w:rsid w:val="003A58F6"/>
    <w:rsid w:val="003A6E82"/>
    <w:rsid w:val="003C27B7"/>
    <w:rsid w:val="003D2202"/>
    <w:rsid w:val="003F0768"/>
    <w:rsid w:val="003F4696"/>
    <w:rsid w:val="003F5F2A"/>
    <w:rsid w:val="003F6506"/>
    <w:rsid w:val="004016E7"/>
    <w:rsid w:val="00401AA7"/>
    <w:rsid w:val="0042145F"/>
    <w:rsid w:val="0042428A"/>
    <w:rsid w:val="00432CA1"/>
    <w:rsid w:val="00433C1F"/>
    <w:rsid w:val="004420E6"/>
    <w:rsid w:val="00450296"/>
    <w:rsid w:val="00451033"/>
    <w:rsid w:val="004526A6"/>
    <w:rsid w:val="00455AAC"/>
    <w:rsid w:val="004702F4"/>
    <w:rsid w:val="00483259"/>
    <w:rsid w:val="00484468"/>
    <w:rsid w:val="004933AA"/>
    <w:rsid w:val="00493B59"/>
    <w:rsid w:val="00495865"/>
    <w:rsid w:val="00496AC8"/>
    <w:rsid w:val="004979BA"/>
    <w:rsid w:val="004B3852"/>
    <w:rsid w:val="004B4E38"/>
    <w:rsid w:val="004B4EBA"/>
    <w:rsid w:val="004C583A"/>
    <w:rsid w:val="004E0B16"/>
    <w:rsid w:val="004E0C21"/>
    <w:rsid w:val="004E3EE6"/>
    <w:rsid w:val="004F18BF"/>
    <w:rsid w:val="004F4FA5"/>
    <w:rsid w:val="005016C3"/>
    <w:rsid w:val="0050369D"/>
    <w:rsid w:val="00504F68"/>
    <w:rsid w:val="005102EB"/>
    <w:rsid w:val="005106CD"/>
    <w:rsid w:val="005163E2"/>
    <w:rsid w:val="00516BE9"/>
    <w:rsid w:val="00523614"/>
    <w:rsid w:val="005249F9"/>
    <w:rsid w:val="0052532D"/>
    <w:rsid w:val="005278FA"/>
    <w:rsid w:val="00540C82"/>
    <w:rsid w:val="005579DA"/>
    <w:rsid w:val="00561FDD"/>
    <w:rsid w:val="00562390"/>
    <w:rsid w:val="005708DF"/>
    <w:rsid w:val="0057381D"/>
    <w:rsid w:val="005838C8"/>
    <w:rsid w:val="0059386D"/>
    <w:rsid w:val="00595032"/>
    <w:rsid w:val="00595F38"/>
    <w:rsid w:val="00596829"/>
    <w:rsid w:val="005A179B"/>
    <w:rsid w:val="005A436D"/>
    <w:rsid w:val="005B4605"/>
    <w:rsid w:val="005B5108"/>
    <w:rsid w:val="005D06EA"/>
    <w:rsid w:val="005D356A"/>
    <w:rsid w:val="005D5486"/>
    <w:rsid w:val="005E75E4"/>
    <w:rsid w:val="00603B1E"/>
    <w:rsid w:val="00607224"/>
    <w:rsid w:val="00622055"/>
    <w:rsid w:val="006234CE"/>
    <w:rsid w:val="00624B5C"/>
    <w:rsid w:val="00633785"/>
    <w:rsid w:val="00635EEF"/>
    <w:rsid w:val="0064461B"/>
    <w:rsid w:val="00647AD7"/>
    <w:rsid w:val="00653153"/>
    <w:rsid w:val="00654751"/>
    <w:rsid w:val="00657792"/>
    <w:rsid w:val="00672296"/>
    <w:rsid w:val="0068739F"/>
    <w:rsid w:val="00694D37"/>
    <w:rsid w:val="006A1058"/>
    <w:rsid w:val="006B3F94"/>
    <w:rsid w:val="006B507A"/>
    <w:rsid w:val="006B5BD6"/>
    <w:rsid w:val="006B66A2"/>
    <w:rsid w:val="006B6EA3"/>
    <w:rsid w:val="006C0DDC"/>
    <w:rsid w:val="006C14DA"/>
    <w:rsid w:val="006C2B50"/>
    <w:rsid w:val="006D5E7C"/>
    <w:rsid w:val="006E6E45"/>
    <w:rsid w:val="006F2E13"/>
    <w:rsid w:val="006F4E88"/>
    <w:rsid w:val="00702488"/>
    <w:rsid w:val="0070645A"/>
    <w:rsid w:val="007072F2"/>
    <w:rsid w:val="00707B87"/>
    <w:rsid w:val="00707C2B"/>
    <w:rsid w:val="0071097D"/>
    <w:rsid w:val="00714A11"/>
    <w:rsid w:val="007205E8"/>
    <w:rsid w:val="00724755"/>
    <w:rsid w:val="0073540A"/>
    <w:rsid w:val="00740025"/>
    <w:rsid w:val="00745701"/>
    <w:rsid w:val="00745B82"/>
    <w:rsid w:val="00750C77"/>
    <w:rsid w:val="00755D68"/>
    <w:rsid w:val="00756534"/>
    <w:rsid w:val="00757B82"/>
    <w:rsid w:val="00761F72"/>
    <w:rsid w:val="00766CE4"/>
    <w:rsid w:val="00767B38"/>
    <w:rsid w:val="00781A14"/>
    <w:rsid w:val="007925C5"/>
    <w:rsid w:val="00793C10"/>
    <w:rsid w:val="007A7CBC"/>
    <w:rsid w:val="007B7C5C"/>
    <w:rsid w:val="007C0637"/>
    <w:rsid w:val="007C1EC7"/>
    <w:rsid w:val="007C4F1E"/>
    <w:rsid w:val="007D30B9"/>
    <w:rsid w:val="007E727E"/>
    <w:rsid w:val="007F594C"/>
    <w:rsid w:val="008026D0"/>
    <w:rsid w:val="00804E29"/>
    <w:rsid w:val="008133E5"/>
    <w:rsid w:val="00833324"/>
    <w:rsid w:val="00833E88"/>
    <w:rsid w:val="00842819"/>
    <w:rsid w:val="008550C4"/>
    <w:rsid w:val="0086129B"/>
    <w:rsid w:val="00871226"/>
    <w:rsid w:val="008752EE"/>
    <w:rsid w:val="008763E9"/>
    <w:rsid w:val="008840D7"/>
    <w:rsid w:val="00890CA7"/>
    <w:rsid w:val="00891DAC"/>
    <w:rsid w:val="008927C4"/>
    <w:rsid w:val="008B1E40"/>
    <w:rsid w:val="008B286B"/>
    <w:rsid w:val="008B40B6"/>
    <w:rsid w:val="008B78FD"/>
    <w:rsid w:val="008C205B"/>
    <w:rsid w:val="008C33FB"/>
    <w:rsid w:val="008D048F"/>
    <w:rsid w:val="008D578F"/>
    <w:rsid w:val="0090140D"/>
    <w:rsid w:val="00901A18"/>
    <w:rsid w:val="00902FCF"/>
    <w:rsid w:val="00903A12"/>
    <w:rsid w:val="009112FF"/>
    <w:rsid w:val="00917F6F"/>
    <w:rsid w:val="009302BC"/>
    <w:rsid w:val="009335F1"/>
    <w:rsid w:val="009402F1"/>
    <w:rsid w:val="00943FC4"/>
    <w:rsid w:val="00973FD5"/>
    <w:rsid w:val="00976EAA"/>
    <w:rsid w:val="009A04D4"/>
    <w:rsid w:val="009A282D"/>
    <w:rsid w:val="009B2B95"/>
    <w:rsid w:val="009D04EB"/>
    <w:rsid w:val="009D46EF"/>
    <w:rsid w:val="009D7506"/>
    <w:rsid w:val="009E20DE"/>
    <w:rsid w:val="009E3192"/>
    <w:rsid w:val="009E43DC"/>
    <w:rsid w:val="009F10A1"/>
    <w:rsid w:val="009F16B6"/>
    <w:rsid w:val="009F53E8"/>
    <w:rsid w:val="00A11E4E"/>
    <w:rsid w:val="00A217C4"/>
    <w:rsid w:val="00A23E56"/>
    <w:rsid w:val="00A23EFF"/>
    <w:rsid w:val="00A314F2"/>
    <w:rsid w:val="00A318A6"/>
    <w:rsid w:val="00A3277C"/>
    <w:rsid w:val="00A35F47"/>
    <w:rsid w:val="00A46771"/>
    <w:rsid w:val="00A63603"/>
    <w:rsid w:val="00A66E7F"/>
    <w:rsid w:val="00A72692"/>
    <w:rsid w:val="00A908A0"/>
    <w:rsid w:val="00A91759"/>
    <w:rsid w:val="00A974FC"/>
    <w:rsid w:val="00AA6234"/>
    <w:rsid w:val="00AB16F0"/>
    <w:rsid w:val="00AB508F"/>
    <w:rsid w:val="00AB7BE8"/>
    <w:rsid w:val="00AC1ECA"/>
    <w:rsid w:val="00AC2445"/>
    <w:rsid w:val="00AC3FE2"/>
    <w:rsid w:val="00AC5619"/>
    <w:rsid w:val="00AC74F8"/>
    <w:rsid w:val="00AD3129"/>
    <w:rsid w:val="00AD575E"/>
    <w:rsid w:val="00AE00D9"/>
    <w:rsid w:val="00AE18CB"/>
    <w:rsid w:val="00AE1AA2"/>
    <w:rsid w:val="00AE391D"/>
    <w:rsid w:val="00AF3E50"/>
    <w:rsid w:val="00B00031"/>
    <w:rsid w:val="00B11AA3"/>
    <w:rsid w:val="00B35843"/>
    <w:rsid w:val="00B41D6A"/>
    <w:rsid w:val="00B50311"/>
    <w:rsid w:val="00B5062D"/>
    <w:rsid w:val="00B54752"/>
    <w:rsid w:val="00B62B1C"/>
    <w:rsid w:val="00B656D8"/>
    <w:rsid w:val="00B730AC"/>
    <w:rsid w:val="00B84527"/>
    <w:rsid w:val="00B84C9D"/>
    <w:rsid w:val="00B91551"/>
    <w:rsid w:val="00B926DB"/>
    <w:rsid w:val="00B966F5"/>
    <w:rsid w:val="00BA15AB"/>
    <w:rsid w:val="00BA6F60"/>
    <w:rsid w:val="00BB32D4"/>
    <w:rsid w:val="00BB747C"/>
    <w:rsid w:val="00BE015A"/>
    <w:rsid w:val="00BE4EBA"/>
    <w:rsid w:val="00BE631A"/>
    <w:rsid w:val="00BF05E6"/>
    <w:rsid w:val="00BF707F"/>
    <w:rsid w:val="00C12BE9"/>
    <w:rsid w:val="00C17258"/>
    <w:rsid w:val="00C2705C"/>
    <w:rsid w:val="00C271B8"/>
    <w:rsid w:val="00C43F59"/>
    <w:rsid w:val="00C4677F"/>
    <w:rsid w:val="00C61FCD"/>
    <w:rsid w:val="00C649C8"/>
    <w:rsid w:val="00C65666"/>
    <w:rsid w:val="00C76A4B"/>
    <w:rsid w:val="00C80270"/>
    <w:rsid w:val="00C849CA"/>
    <w:rsid w:val="00C84DCA"/>
    <w:rsid w:val="00C927EE"/>
    <w:rsid w:val="00C96274"/>
    <w:rsid w:val="00CB12C8"/>
    <w:rsid w:val="00CB2D61"/>
    <w:rsid w:val="00CB5A7E"/>
    <w:rsid w:val="00CC30F6"/>
    <w:rsid w:val="00CD17D4"/>
    <w:rsid w:val="00CD368C"/>
    <w:rsid w:val="00CD5401"/>
    <w:rsid w:val="00CD7807"/>
    <w:rsid w:val="00CE26C4"/>
    <w:rsid w:val="00CE6FCC"/>
    <w:rsid w:val="00CF015A"/>
    <w:rsid w:val="00CF0841"/>
    <w:rsid w:val="00CF13E7"/>
    <w:rsid w:val="00CF2470"/>
    <w:rsid w:val="00CF52A8"/>
    <w:rsid w:val="00CF7C88"/>
    <w:rsid w:val="00D03967"/>
    <w:rsid w:val="00D10E5B"/>
    <w:rsid w:val="00D11506"/>
    <w:rsid w:val="00D168CC"/>
    <w:rsid w:val="00D173AF"/>
    <w:rsid w:val="00D20421"/>
    <w:rsid w:val="00D21418"/>
    <w:rsid w:val="00D3570E"/>
    <w:rsid w:val="00D36C19"/>
    <w:rsid w:val="00D416B0"/>
    <w:rsid w:val="00D51EDF"/>
    <w:rsid w:val="00D65E35"/>
    <w:rsid w:val="00D65FA7"/>
    <w:rsid w:val="00D740A0"/>
    <w:rsid w:val="00D74923"/>
    <w:rsid w:val="00D74954"/>
    <w:rsid w:val="00D75CD2"/>
    <w:rsid w:val="00D80101"/>
    <w:rsid w:val="00D813C1"/>
    <w:rsid w:val="00D82549"/>
    <w:rsid w:val="00D86B4A"/>
    <w:rsid w:val="00D9400C"/>
    <w:rsid w:val="00DB2703"/>
    <w:rsid w:val="00DB2D00"/>
    <w:rsid w:val="00DC601D"/>
    <w:rsid w:val="00DC6A16"/>
    <w:rsid w:val="00DD09B6"/>
    <w:rsid w:val="00DE08F0"/>
    <w:rsid w:val="00DF4765"/>
    <w:rsid w:val="00E02CD0"/>
    <w:rsid w:val="00E20662"/>
    <w:rsid w:val="00E23CEC"/>
    <w:rsid w:val="00E24A5F"/>
    <w:rsid w:val="00E327D4"/>
    <w:rsid w:val="00E34285"/>
    <w:rsid w:val="00E3428E"/>
    <w:rsid w:val="00E36B3A"/>
    <w:rsid w:val="00E43A50"/>
    <w:rsid w:val="00E43C39"/>
    <w:rsid w:val="00E46F29"/>
    <w:rsid w:val="00E57915"/>
    <w:rsid w:val="00E74669"/>
    <w:rsid w:val="00E75D72"/>
    <w:rsid w:val="00E83790"/>
    <w:rsid w:val="00E8556A"/>
    <w:rsid w:val="00E872DE"/>
    <w:rsid w:val="00E92A90"/>
    <w:rsid w:val="00E9361C"/>
    <w:rsid w:val="00E950D4"/>
    <w:rsid w:val="00EA1AC5"/>
    <w:rsid w:val="00EB3F8B"/>
    <w:rsid w:val="00EC1707"/>
    <w:rsid w:val="00ED1A7A"/>
    <w:rsid w:val="00ED2874"/>
    <w:rsid w:val="00ED4D13"/>
    <w:rsid w:val="00EE2FED"/>
    <w:rsid w:val="00EF1DCB"/>
    <w:rsid w:val="00EF5C48"/>
    <w:rsid w:val="00F045BA"/>
    <w:rsid w:val="00F0487E"/>
    <w:rsid w:val="00F05DBB"/>
    <w:rsid w:val="00F07C9A"/>
    <w:rsid w:val="00F13D25"/>
    <w:rsid w:val="00F142A0"/>
    <w:rsid w:val="00F301FB"/>
    <w:rsid w:val="00F31A65"/>
    <w:rsid w:val="00F34A4D"/>
    <w:rsid w:val="00F353A7"/>
    <w:rsid w:val="00F40F50"/>
    <w:rsid w:val="00F4103E"/>
    <w:rsid w:val="00F4298C"/>
    <w:rsid w:val="00F44AB2"/>
    <w:rsid w:val="00F45379"/>
    <w:rsid w:val="00F5042D"/>
    <w:rsid w:val="00F505FE"/>
    <w:rsid w:val="00F53E01"/>
    <w:rsid w:val="00F6363A"/>
    <w:rsid w:val="00F75CA3"/>
    <w:rsid w:val="00F77EAD"/>
    <w:rsid w:val="00F8755F"/>
    <w:rsid w:val="00F87D04"/>
    <w:rsid w:val="00F9469D"/>
    <w:rsid w:val="00F971D7"/>
    <w:rsid w:val="00F97790"/>
    <w:rsid w:val="00FB0C3C"/>
    <w:rsid w:val="00FB5DC3"/>
    <w:rsid w:val="00FC118C"/>
    <w:rsid w:val="00FC1990"/>
    <w:rsid w:val="00FC271E"/>
    <w:rsid w:val="00FE726F"/>
    <w:rsid w:val="00FF0C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4ADC0A43"/>
  <w15:chartTrackingRefBased/>
  <w15:docId w15:val="{FDEB57B0-48B6-446D-A6FD-2D9AFED64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7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54751"/>
    <w:rPr>
      <w:rFonts w:ascii="Tahoma" w:hAnsi="Tahoma" w:cs="Tahoma"/>
      <w:sz w:val="16"/>
      <w:szCs w:val="16"/>
    </w:rPr>
  </w:style>
  <w:style w:type="paragraph" w:styleId="Header">
    <w:name w:val="header"/>
    <w:basedOn w:val="Normal"/>
    <w:rsid w:val="00102268"/>
    <w:pPr>
      <w:tabs>
        <w:tab w:val="center" w:pos="4320"/>
        <w:tab w:val="right" w:pos="8640"/>
      </w:tabs>
    </w:pPr>
  </w:style>
  <w:style w:type="paragraph" w:styleId="Footer">
    <w:name w:val="footer"/>
    <w:basedOn w:val="Normal"/>
    <w:rsid w:val="00102268"/>
    <w:pPr>
      <w:tabs>
        <w:tab w:val="center" w:pos="4320"/>
        <w:tab w:val="right" w:pos="8640"/>
      </w:tabs>
    </w:pPr>
  </w:style>
  <w:style w:type="character" w:styleId="Hyperlink">
    <w:name w:val="Hyperlink"/>
    <w:rsid w:val="001A6473"/>
    <w:rPr>
      <w:color w:val="0000FF"/>
      <w:u w:val="single"/>
    </w:rPr>
  </w:style>
  <w:style w:type="character" w:styleId="FollowedHyperlink">
    <w:name w:val="FollowedHyperlink"/>
    <w:rsid w:val="009112FF"/>
    <w:rPr>
      <w:color w:val="800080"/>
      <w:u w:val="single"/>
    </w:rPr>
  </w:style>
  <w:style w:type="paragraph" w:customStyle="1" w:styleId="Default">
    <w:name w:val="Default"/>
    <w:rsid w:val="001D75B7"/>
    <w:pPr>
      <w:autoSpaceDE w:val="0"/>
      <w:autoSpaceDN w:val="0"/>
      <w:adjustRightInd w:val="0"/>
    </w:pPr>
    <w:rPr>
      <w:rFonts w:ascii="Calibri" w:hAnsi="Calibri" w:cs="Calibri"/>
      <w:color w:val="000000"/>
      <w:sz w:val="24"/>
      <w:szCs w:val="24"/>
    </w:rPr>
  </w:style>
  <w:style w:type="character" w:styleId="IntenseEmphasis">
    <w:name w:val="Intense Emphasis"/>
    <w:uiPriority w:val="21"/>
    <w:qFormat/>
    <w:rsid w:val="005B4605"/>
    <w:rPr>
      <w:b/>
      <w:bCs/>
      <w:i/>
      <w:iCs/>
      <w:color w:val="4F81BD"/>
    </w:rPr>
  </w:style>
  <w:style w:type="paragraph" w:customStyle="1" w:styleId="NormalBold">
    <w:name w:val="NormalBold"/>
    <w:basedOn w:val="Normal"/>
    <w:rsid w:val="005B4605"/>
    <w:pPr>
      <w:spacing w:line="240" w:lineRule="atLeast"/>
    </w:pPr>
    <w:rPr>
      <w:rFonts w:ascii="Helvetica 65 Medium" w:hAnsi="Helvetica 65 Medium"/>
    </w:rPr>
  </w:style>
  <w:style w:type="character" w:styleId="CommentReference">
    <w:name w:val="annotation reference"/>
    <w:uiPriority w:val="99"/>
    <w:semiHidden/>
    <w:unhideWhenUsed/>
    <w:rsid w:val="006C14DA"/>
    <w:rPr>
      <w:sz w:val="16"/>
      <w:szCs w:val="16"/>
    </w:rPr>
  </w:style>
  <w:style w:type="paragraph" w:styleId="CommentText">
    <w:name w:val="annotation text"/>
    <w:basedOn w:val="Normal"/>
    <w:link w:val="CommentTextChar"/>
    <w:uiPriority w:val="99"/>
    <w:semiHidden/>
    <w:unhideWhenUsed/>
    <w:rsid w:val="006C14DA"/>
  </w:style>
  <w:style w:type="character" w:customStyle="1" w:styleId="CommentTextChar">
    <w:name w:val="Comment Text Char"/>
    <w:link w:val="CommentText"/>
    <w:uiPriority w:val="99"/>
    <w:semiHidden/>
    <w:rsid w:val="006C14DA"/>
    <w:rPr>
      <w:lang w:eastAsia="en-US"/>
    </w:rPr>
  </w:style>
  <w:style w:type="paragraph" w:styleId="CommentSubject">
    <w:name w:val="annotation subject"/>
    <w:basedOn w:val="CommentText"/>
    <w:next w:val="CommentText"/>
    <w:link w:val="CommentSubjectChar"/>
    <w:uiPriority w:val="99"/>
    <w:semiHidden/>
    <w:unhideWhenUsed/>
    <w:rsid w:val="006C14DA"/>
    <w:rPr>
      <w:b/>
      <w:bCs/>
    </w:rPr>
  </w:style>
  <w:style w:type="character" w:customStyle="1" w:styleId="CommentSubjectChar">
    <w:name w:val="Comment Subject Char"/>
    <w:link w:val="CommentSubject"/>
    <w:uiPriority w:val="99"/>
    <w:semiHidden/>
    <w:rsid w:val="006C14DA"/>
    <w:rPr>
      <w:b/>
      <w:bCs/>
      <w:lang w:eastAsia="en-US"/>
    </w:rPr>
  </w:style>
  <w:style w:type="paragraph" w:styleId="ListParagraph">
    <w:name w:val="List Paragraph"/>
    <w:basedOn w:val="Normal"/>
    <w:uiPriority w:val="34"/>
    <w:qFormat/>
    <w:rsid w:val="009F53E8"/>
    <w:pPr>
      <w:spacing w:line="280" w:lineRule="exact"/>
      <w:ind w:left="720"/>
      <w:contextualSpacing/>
    </w:pPr>
    <w:rPr>
      <w:rFonts w:ascii="HelveticaNeueLT Std Lt" w:eastAsia="Times" w:hAnsi="HelveticaNeueLT Std Lt"/>
      <w:sz w:val="24"/>
      <w:szCs w:val="24"/>
    </w:rPr>
  </w:style>
  <w:style w:type="table" w:customStyle="1" w:styleId="TableGrid1">
    <w:name w:val="Table Grid1"/>
    <w:basedOn w:val="TableNormal"/>
    <w:next w:val="TableGrid"/>
    <w:uiPriority w:val="39"/>
    <w:rsid w:val="00CF08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875471">
      <w:bodyDiv w:val="1"/>
      <w:marLeft w:val="0"/>
      <w:marRight w:val="0"/>
      <w:marTop w:val="0"/>
      <w:marBottom w:val="0"/>
      <w:divBdr>
        <w:top w:val="none" w:sz="0" w:space="0" w:color="auto"/>
        <w:left w:val="none" w:sz="0" w:space="0" w:color="auto"/>
        <w:bottom w:val="none" w:sz="0" w:space="0" w:color="auto"/>
        <w:right w:val="none" w:sz="0" w:space="0" w:color="auto"/>
      </w:divBdr>
    </w:div>
    <w:div w:id="143759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F5524-BC13-4D2C-AFBC-0B12BB43F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9</Pages>
  <Words>2201</Words>
  <Characters>11980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ARB Committee Paper</vt:lpstr>
    </vt:vector>
  </TitlesOfParts>
  <Company>ARB</Company>
  <LinksUpToDate>false</LinksUpToDate>
  <CharactersWithSpaces>14153</CharactersWithSpaces>
  <SharedDoc>false</SharedDoc>
  <HLinks>
    <vt:vector size="6" baseType="variant">
      <vt:variant>
        <vt:i4>7340040</vt:i4>
      </vt:variant>
      <vt:variant>
        <vt:i4>0</vt:i4>
      </vt:variant>
      <vt:variant>
        <vt:i4>0</vt:i4>
      </vt:variant>
      <vt:variant>
        <vt:i4>5</vt:i4>
      </vt:variant>
      <vt:variant>
        <vt:lpwstr>mailto:marcs@arb.org.uk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 Committee Paper</dc:title>
  <dc:subject/>
  <dc:creator>Vicky Aitchison</dc:creator>
  <cp:keywords/>
  <cp:lastModifiedBy>Marc Stoner</cp:lastModifiedBy>
  <cp:revision>8</cp:revision>
  <cp:lastPrinted>2020-06-12T07:45:00Z</cp:lastPrinted>
  <dcterms:created xsi:type="dcterms:W3CDTF">2021-07-10T15:25:00Z</dcterms:created>
  <dcterms:modified xsi:type="dcterms:W3CDTF">2021-07-15T12:11:00Z</dcterms:modified>
</cp:coreProperties>
</file>