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764"/>
        <w:gridCol w:w="2496"/>
        <w:gridCol w:w="1378"/>
      </w:tblGrid>
      <w:tr w:rsidR="007A7CBC" w:rsidRPr="00F33A7F" w14:paraId="0B150DA3" w14:textId="77777777" w:rsidTr="00F33A7F">
        <w:tc>
          <w:tcPr>
            <w:tcW w:w="5920" w:type="dxa"/>
            <w:shd w:val="clear" w:color="auto" w:fill="auto"/>
          </w:tcPr>
          <w:p w14:paraId="037E8711" w14:textId="77777777" w:rsidR="007A7CBC" w:rsidRPr="00F33A7F" w:rsidRDefault="007A7CBC">
            <w:pPr>
              <w:rPr>
                <w:rFonts w:ascii="Helvetica 65 Medium" w:hAnsi="Helvetica 65 Medium"/>
                <w:sz w:val="24"/>
                <w:szCs w:val="24"/>
              </w:rPr>
            </w:pPr>
            <w:bookmarkStart w:id="0" w:name="_top"/>
            <w:bookmarkEnd w:id="0"/>
          </w:p>
          <w:p w14:paraId="28103693" w14:textId="77777777" w:rsidR="007A7CBC" w:rsidRPr="00F33A7F" w:rsidRDefault="00104FBE">
            <w:pPr>
              <w:rPr>
                <w:rFonts w:ascii="Helvetica 65 Medium" w:hAnsi="Helvetica 65 Medium"/>
                <w:sz w:val="24"/>
                <w:szCs w:val="24"/>
              </w:rPr>
            </w:pPr>
            <w:r>
              <w:rPr>
                <w:rFonts w:ascii="Helvetica 65 Medium" w:hAnsi="Helvetica 65 Medium"/>
                <w:noProof/>
                <w:sz w:val="24"/>
                <w:szCs w:val="24"/>
                <w:lang w:eastAsia="en-GB"/>
              </w:rPr>
              <w:drawing>
                <wp:inline distT="0" distB="0" distL="0" distR="0" wp14:anchorId="5CC1C240" wp14:editId="1045ECF7">
                  <wp:extent cx="809625" cy="419100"/>
                  <wp:effectExtent l="0" t="0" r="9525" b="0"/>
                  <wp:docPr id="1" name="Picture 1"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419100"/>
                          </a:xfrm>
                          <a:prstGeom prst="rect">
                            <a:avLst/>
                          </a:prstGeom>
                          <a:noFill/>
                          <a:ln>
                            <a:noFill/>
                          </a:ln>
                        </pic:spPr>
                      </pic:pic>
                    </a:graphicData>
                  </a:graphic>
                </wp:inline>
              </w:drawing>
            </w:r>
          </w:p>
          <w:p w14:paraId="110A5D01" w14:textId="77777777" w:rsidR="007A7CBC" w:rsidRPr="00F33A7F" w:rsidRDefault="007A7CBC">
            <w:pPr>
              <w:rPr>
                <w:rFonts w:ascii="Helvetica 65 Medium" w:hAnsi="Helvetica 65 Medium"/>
                <w:sz w:val="24"/>
                <w:szCs w:val="24"/>
              </w:rPr>
            </w:pPr>
          </w:p>
        </w:tc>
        <w:tc>
          <w:tcPr>
            <w:tcW w:w="2552" w:type="dxa"/>
            <w:shd w:val="clear" w:color="auto" w:fill="auto"/>
          </w:tcPr>
          <w:p w14:paraId="559E9A4C" w14:textId="77777777" w:rsidR="00CD7807" w:rsidRPr="00F33A7F" w:rsidRDefault="00CD7807" w:rsidP="00745B82">
            <w:pPr>
              <w:rPr>
                <w:rFonts w:ascii="Calibri" w:hAnsi="Calibri" w:cs="Calibri"/>
                <w:b/>
                <w:sz w:val="24"/>
                <w:szCs w:val="24"/>
              </w:rPr>
            </w:pPr>
          </w:p>
          <w:p w14:paraId="40923285" w14:textId="77777777" w:rsidR="007A7CBC" w:rsidRDefault="00D34140" w:rsidP="00745B82">
            <w:pPr>
              <w:rPr>
                <w:rFonts w:ascii="Calibri" w:hAnsi="Calibri" w:cs="Calibri"/>
                <w:b/>
                <w:sz w:val="24"/>
                <w:szCs w:val="24"/>
              </w:rPr>
            </w:pPr>
            <w:r>
              <w:rPr>
                <w:rFonts w:ascii="Calibri" w:hAnsi="Calibri" w:cs="Calibri"/>
                <w:b/>
                <w:sz w:val="24"/>
                <w:szCs w:val="24"/>
              </w:rPr>
              <w:t>Date</w:t>
            </w:r>
          </w:p>
          <w:p w14:paraId="43A8FB26" w14:textId="77777777" w:rsidR="00AE136E" w:rsidRPr="00F33A7F" w:rsidRDefault="00AE136E" w:rsidP="00745B82">
            <w:pPr>
              <w:rPr>
                <w:rFonts w:ascii="Calibri" w:hAnsi="Calibri" w:cs="Calibri"/>
                <w:b/>
                <w:sz w:val="24"/>
                <w:szCs w:val="24"/>
              </w:rPr>
            </w:pPr>
            <w:r>
              <w:rPr>
                <w:rFonts w:ascii="Calibri" w:hAnsi="Calibri" w:cs="Calibri"/>
                <w:b/>
                <w:sz w:val="24"/>
                <w:szCs w:val="24"/>
              </w:rPr>
              <w:t>Agenda Item</w:t>
            </w:r>
          </w:p>
        </w:tc>
        <w:tc>
          <w:tcPr>
            <w:tcW w:w="1382" w:type="dxa"/>
            <w:shd w:val="clear" w:color="auto" w:fill="auto"/>
          </w:tcPr>
          <w:p w14:paraId="44B7AAAF" w14:textId="77777777" w:rsidR="007A7CBC" w:rsidRPr="00F33A7F" w:rsidRDefault="007A7CBC">
            <w:pPr>
              <w:rPr>
                <w:rFonts w:ascii="Calibri" w:hAnsi="Calibri" w:cs="Calibri"/>
                <w:b/>
                <w:sz w:val="24"/>
                <w:szCs w:val="24"/>
              </w:rPr>
            </w:pPr>
          </w:p>
          <w:p w14:paraId="551BD929" w14:textId="047381A0" w:rsidR="007A7CBC" w:rsidRDefault="0030612D" w:rsidP="00A55890">
            <w:pPr>
              <w:rPr>
                <w:rFonts w:ascii="Calibri" w:hAnsi="Calibri" w:cs="Calibri"/>
                <w:b/>
                <w:sz w:val="24"/>
                <w:szCs w:val="24"/>
              </w:rPr>
            </w:pPr>
            <w:r>
              <w:rPr>
                <w:rFonts w:ascii="Calibri" w:hAnsi="Calibri" w:cs="Calibri"/>
                <w:b/>
                <w:sz w:val="24"/>
                <w:szCs w:val="24"/>
              </w:rPr>
              <w:t>21</w:t>
            </w:r>
            <w:r w:rsidR="00B03A81">
              <w:rPr>
                <w:rFonts w:ascii="Calibri" w:hAnsi="Calibri" w:cs="Calibri"/>
                <w:b/>
                <w:sz w:val="24"/>
                <w:szCs w:val="24"/>
              </w:rPr>
              <w:t>/</w:t>
            </w:r>
            <w:r w:rsidR="00612FDC">
              <w:rPr>
                <w:rFonts w:ascii="Calibri" w:hAnsi="Calibri" w:cs="Calibri"/>
                <w:b/>
                <w:sz w:val="24"/>
                <w:szCs w:val="24"/>
              </w:rPr>
              <w:t>7</w:t>
            </w:r>
            <w:r w:rsidR="00B03A81">
              <w:rPr>
                <w:rFonts w:ascii="Calibri" w:hAnsi="Calibri" w:cs="Calibri"/>
                <w:b/>
                <w:sz w:val="24"/>
                <w:szCs w:val="24"/>
              </w:rPr>
              <w:t>/2021</w:t>
            </w:r>
          </w:p>
          <w:p w14:paraId="2866CEB7" w14:textId="40863667" w:rsidR="00AE136E" w:rsidRPr="00F33A7F" w:rsidRDefault="0030612D" w:rsidP="00A55890">
            <w:pPr>
              <w:rPr>
                <w:rFonts w:ascii="Calibri" w:hAnsi="Calibri" w:cs="Calibri"/>
                <w:b/>
                <w:sz w:val="24"/>
                <w:szCs w:val="24"/>
              </w:rPr>
            </w:pPr>
            <w:r>
              <w:rPr>
                <w:rFonts w:ascii="Calibri" w:hAnsi="Calibri" w:cs="Calibri"/>
                <w:b/>
                <w:sz w:val="24"/>
                <w:szCs w:val="24"/>
              </w:rPr>
              <w:t>6</w:t>
            </w:r>
          </w:p>
        </w:tc>
      </w:tr>
    </w:tbl>
    <w:p w14:paraId="41B8E0CF" w14:textId="77777777" w:rsidR="00833E88" w:rsidRPr="0001471C" w:rsidRDefault="00833E88">
      <w:pPr>
        <w:rPr>
          <w:rFonts w:ascii="Helvetica 65 Medium" w:hAnsi="Helvetica 65 Medium"/>
          <w:sz w:val="24"/>
          <w:szCs w:val="24"/>
        </w:rPr>
      </w:pPr>
    </w:p>
    <w:tbl>
      <w:tblPr>
        <w:tblW w:w="9747" w:type="dxa"/>
        <w:tblLook w:val="01E0" w:firstRow="1" w:lastRow="1" w:firstColumn="1" w:lastColumn="1" w:noHBand="0" w:noVBand="0"/>
      </w:tblPr>
      <w:tblGrid>
        <w:gridCol w:w="2895"/>
        <w:gridCol w:w="6852"/>
      </w:tblGrid>
      <w:tr w:rsidR="002818DB" w:rsidRPr="00F33A7F" w14:paraId="7B108751" w14:textId="77777777" w:rsidTr="00922807">
        <w:tc>
          <w:tcPr>
            <w:tcW w:w="2895" w:type="dxa"/>
            <w:shd w:val="clear" w:color="auto" w:fill="auto"/>
          </w:tcPr>
          <w:p w14:paraId="6C9540AF" w14:textId="77777777" w:rsidR="002818DB" w:rsidRPr="00F33A7F" w:rsidRDefault="002818DB" w:rsidP="000C30B6">
            <w:pPr>
              <w:spacing w:before="40" w:after="40"/>
              <w:rPr>
                <w:rFonts w:ascii="Calibri" w:hAnsi="Calibri" w:cs="Calibri"/>
                <w:b/>
                <w:sz w:val="24"/>
                <w:szCs w:val="24"/>
              </w:rPr>
            </w:pPr>
            <w:r w:rsidRPr="00F33A7F">
              <w:rPr>
                <w:rFonts w:ascii="Calibri" w:hAnsi="Calibri" w:cs="Calibri"/>
                <w:b/>
                <w:sz w:val="24"/>
                <w:szCs w:val="24"/>
              </w:rPr>
              <w:t>Subject</w:t>
            </w:r>
          </w:p>
        </w:tc>
        <w:tc>
          <w:tcPr>
            <w:tcW w:w="6852" w:type="dxa"/>
            <w:shd w:val="clear" w:color="auto" w:fill="auto"/>
          </w:tcPr>
          <w:p w14:paraId="34DF7176" w14:textId="0CC76ECD" w:rsidR="002818DB" w:rsidRPr="00F33A7F" w:rsidRDefault="003201E6" w:rsidP="00764075">
            <w:pPr>
              <w:spacing w:before="40" w:after="40"/>
              <w:rPr>
                <w:rFonts w:ascii="Calibri" w:hAnsi="Calibri" w:cs="Calibri"/>
                <w:b/>
                <w:sz w:val="24"/>
                <w:szCs w:val="24"/>
              </w:rPr>
            </w:pPr>
            <w:r>
              <w:rPr>
                <w:rFonts w:ascii="Calibri" w:hAnsi="Calibri" w:cs="Calibri"/>
                <w:b/>
                <w:sz w:val="24"/>
                <w:szCs w:val="24"/>
              </w:rPr>
              <w:t xml:space="preserve">Criteria </w:t>
            </w:r>
            <w:r w:rsidR="00B03A81">
              <w:rPr>
                <w:rFonts w:ascii="Calibri" w:hAnsi="Calibri" w:cs="Calibri"/>
                <w:b/>
                <w:sz w:val="24"/>
                <w:szCs w:val="24"/>
              </w:rPr>
              <w:t>Guidance to Institutions</w:t>
            </w:r>
          </w:p>
        </w:tc>
      </w:tr>
      <w:tr w:rsidR="002818DB" w:rsidRPr="00F33A7F" w14:paraId="196E28F3" w14:textId="77777777" w:rsidTr="00922807">
        <w:tc>
          <w:tcPr>
            <w:tcW w:w="2895" w:type="dxa"/>
            <w:shd w:val="clear" w:color="auto" w:fill="auto"/>
          </w:tcPr>
          <w:p w14:paraId="44242B42" w14:textId="77777777" w:rsidR="002818DB" w:rsidRPr="00F33A7F" w:rsidRDefault="002818DB" w:rsidP="000C30B6">
            <w:pPr>
              <w:spacing w:before="40" w:after="40"/>
              <w:rPr>
                <w:rFonts w:ascii="Calibri" w:hAnsi="Calibri" w:cs="Calibri"/>
                <w:b/>
                <w:sz w:val="24"/>
                <w:szCs w:val="24"/>
              </w:rPr>
            </w:pPr>
            <w:r w:rsidRPr="00F33A7F">
              <w:rPr>
                <w:rFonts w:ascii="Calibri" w:hAnsi="Calibri" w:cs="Calibri"/>
                <w:b/>
                <w:sz w:val="24"/>
                <w:szCs w:val="24"/>
              </w:rPr>
              <w:t>Status</w:t>
            </w:r>
          </w:p>
        </w:tc>
        <w:tc>
          <w:tcPr>
            <w:tcW w:w="6852" w:type="dxa"/>
            <w:shd w:val="clear" w:color="auto" w:fill="auto"/>
          </w:tcPr>
          <w:p w14:paraId="3A9C4E21" w14:textId="77777777" w:rsidR="002818DB" w:rsidRPr="00F33A7F" w:rsidRDefault="001E1EFD" w:rsidP="00D34140">
            <w:pPr>
              <w:spacing w:before="40" w:after="40"/>
              <w:rPr>
                <w:rFonts w:ascii="Calibri" w:hAnsi="Calibri" w:cs="Calibri"/>
                <w:b/>
                <w:sz w:val="24"/>
                <w:szCs w:val="24"/>
              </w:rPr>
            </w:pPr>
            <w:r>
              <w:rPr>
                <w:rFonts w:ascii="Calibri" w:hAnsi="Calibri" w:cs="Calibri"/>
                <w:b/>
                <w:sz w:val="24"/>
                <w:szCs w:val="24"/>
              </w:rPr>
              <w:t>Open</w:t>
            </w:r>
            <w:r w:rsidR="00745B82" w:rsidRPr="00F33A7F">
              <w:rPr>
                <w:rFonts w:ascii="Calibri" w:hAnsi="Calibri" w:cs="Calibri"/>
                <w:b/>
                <w:sz w:val="24"/>
                <w:szCs w:val="24"/>
              </w:rPr>
              <w:t xml:space="preserve"> </w:t>
            </w:r>
          </w:p>
        </w:tc>
      </w:tr>
      <w:tr w:rsidR="002818DB" w:rsidRPr="00F33A7F" w14:paraId="6ACF4800" w14:textId="77777777" w:rsidTr="00922807">
        <w:tc>
          <w:tcPr>
            <w:tcW w:w="2895" w:type="dxa"/>
            <w:shd w:val="clear" w:color="auto" w:fill="auto"/>
          </w:tcPr>
          <w:p w14:paraId="3225A767" w14:textId="77777777" w:rsidR="002818DB" w:rsidRPr="00F33A7F" w:rsidRDefault="002818DB" w:rsidP="000C30B6">
            <w:pPr>
              <w:spacing w:before="40" w:after="40"/>
              <w:rPr>
                <w:rFonts w:ascii="Calibri" w:hAnsi="Calibri" w:cs="Calibri"/>
                <w:b/>
                <w:sz w:val="24"/>
                <w:szCs w:val="24"/>
              </w:rPr>
            </w:pPr>
            <w:r w:rsidRPr="00F33A7F">
              <w:rPr>
                <w:rFonts w:ascii="Calibri" w:hAnsi="Calibri" w:cs="Calibri"/>
                <w:b/>
                <w:sz w:val="24"/>
                <w:szCs w:val="24"/>
              </w:rPr>
              <w:t>Purpose</w:t>
            </w:r>
          </w:p>
        </w:tc>
        <w:tc>
          <w:tcPr>
            <w:tcW w:w="6852" w:type="dxa"/>
            <w:shd w:val="clear" w:color="auto" w:fill="auto"/>
          </w:tcPr>
          <w:p w14:paraId="6993EBF0" w14:textId="77777777" w:rsidR="002818DB" w:rsidRPr="00F33A7F" w:rsidRDefault="002818DB" w:rsidP="000C30B6">
            <w:pPr>
              <w:spacing w:before="40" w:after="40"/>
              <w:rPr>
                <w:rFonts w:ascii="Calibri" w:hAnsi="Calibri" w:cs="Calibri"/>
                <w:b/>
                <w:sz w:val="24"/>
                <w:szCs w:val="24"/>
              </w:rPr>
            </w:pPr>
            <w:r w:rsidRPr="00F33A7F">
              <w:rPr>
                <w:rFonts w:ascii="Calibri" w:hAnsi="Calibri" w:cs="Calibri"/>
                <w:b/>
                <w:sz w:val="24"/>
                <w:szCs w:val="24"/>
              </w:rPr>
              <w:t xml:space="preserve">For decision </w:t>
            </w:r>
          </w:p>
        </w:tc>
      </w:tr>
      <w:tr w:rsidR="002818DB" w:rsidRPr="00F33A7F" w14:paraId="01C75F6D" w14:textId="77777777" w:rsidTr="00922807">
        <w:tc>
          <w:tcPr>
            <w:tcW w:w="2895" w:type="dxa"/>
            <w:shd w:val="clear" w:color="auto" w:fill="auto"/>
          </w:tcPr>
          <w:p w14:paraId="2D0A24D5" w14:textId="77777777" w:rsidR="002818DB" w:rsidRPr="00F33A7F" w:rsidRDefault="002818DB" w:rsidP="000C30B6">
            <w:pPr>
              <w:spacing w:before="40" w:after="40"/>
              <w:rPr>
                <w:rFonts w:ascii="Calibri" w:hAnsi="Calibri" w:cs="Calibri"/>
                <w:b/>
                <w:sz w:val="24"/>
                <w:szCs w:val="24"/>
              </w:rPr>
            </w:pPr>
            <w:r w:rsidRPr="00F33A7F">
              <w:rPr>
                <w:rFonts w:ascii="Calibri" w:hAnsi="Calibri" w:cs="Calibri"/>
                <w:b/>
                <w:sz w:val="24"/>
                <w:szCs w:val="24"/>
              </w:rPr>
              <w:t>From</w:t>
            </w:r>
          </w:p>
        </w:tc>
        <w:tc>
          <w:tcPr>
            <w:tcW w:w="6852" w:type="dxa"/>
            <w:shd w:val="clear" w:color="auto" w:fill="auto"/>
          </w:tcPr>
          <w:p w14:paraId="7933CA87" w14:textId="612CA739" w:rsidR="002818DB" w:rsidRDefault="0057371F" w:rsidP="001A4BFA">
            <w:pPr>
              <w:spacing w:before="40" w:after="40"/>
              <w:rPr>
                <w:rFonts w:ascii="Calibri" w:hAnsi="Calibri" w:cs="Calibri"/>
                <w:b/>
                <w:sz w:val="24"/>
                <w:szCs w:val="24"/>
              </w:rPr>
            </w:pPr>
            <w:r>
              <w:rPr>
                <w:rFonts w:ascii="Calibri" w:hAnsi="Calibri" w:cs="Calibri"/>
                <w:b/>
                <w:sz w:val="24"/>
                <w:szCs w:val="24"/>
              </w:rPr>
              <w:t xml:space="preserve">Simon Howard, </w:t>
            </w:r>
            <w:r w:rsidR="001A4BFA">
              <w:rPr>
                <w:rFonts w:ascii="Calibri" w:hAnsi="Calibri" w:cs="Calibri"/>
                <w:b/>
                <w:sz w:val="24"/>
                <w:szCs w:val="24"/>
              </w:rPr>
              <w:t>Director of Regulation</w:t>
            </w:r>
          </w:p>
          <w:p w14:paraId="091815B2" w14:textId="5BCB2365" w:rsidR="00C25E35" w:rsidRDefault="00C25E35" w:rsidP="001A4BFA">
            <w:pPr>
              <w:spacing w:before="40" w:after="40"/>
              <w:rPr>
                <w:rFonts w:ascii="Calibri" w:hAnsi="Calibri" w:cs="Calibri"/>
                <w:b/>
                <w:sz w:val="24"/>
                <w:szCs w:val="24"/>
              </w:rPr>
            </w:pPr>
            <w:r>
              <w:rPr>
                <w:rFonts w:ascii="Calibri" w:hAnsi="Calibri" w:cs="Calibri"/>
                <w:b/>
                <w:sz w:val="24"/>
                <w:szCs w:val="24"/>
              </w:rPr>
              <w:t>Rebecca Roberts-Hughes, Director of Policy and Communications</w:t>
            </w:r>
          </w:p>
          <w:p w14:paraId="52EDA45D" w14:textId="7FD1B112" w:rsidR="001A4BFA" w:rsidRPr="00F33A7F" w:rsidRDefault="001A4BFA" w:rsidP="001A4BFA">
            <w:pPr>
              <w:spacing w:before="40" w:after="40"/>
              <w:rPr>
                <w:rFonts w:ascii="Calibri" w:hAnsi="Calibri" w:cs="Calibri"/>
                <w:b/>
                <w:sz w:val="24"/>
                <w:szCs w:val="24"/>
              </w:rPr>
            </w:pPr>
          </w:p>
        </w:tc>
      </w:tr>
      <w:tr w:rsidR="00BC3C62" w:rsidRPr="00F33A7F" w14:paraId="3C761CE1" w14:textId="77777777" w:rsidTr="00922807">
        <w:trPr>
          <w:trHeight w:val="546"/>
        </w:trPr>
        <w:tc>
          <w:tcPr>
            <w:tcW w:w="9747" w:type="dxa"/>
            <w:gridSpan w:val="2"/>
            <w:tcBorders>
              <w:bottom w:val="single" w:sz="4" w:space="0" w:color="auto"/>
            </w:tcBorders>
            <w:shd w:val="clear" w:color="auto" w:fill="auto"/>
          </w:tcPr>
          <w:p w14:paraId="58A491B1" w14:textId="7087AE71" w:rsidR="00BC3C62" w:rsidRPr="00F63BDD" w:rsidRDefault="00BC3C62" w:rsidP="00941C2F">
            <w:pPr>
              <w:spacing w:before="40" w:after="40"/>
              <w:rPr>
                <w:rFonts w:ascii="Calibri" w:hAnsi="Calibri" w:cs="Calibri"/>
                <w:b/>
                <w:color w:val="4F81BD"/>
                <w:sz w:val="22"/>
                <w:szCs w:val="22"/>
              </w:rPr>
            </w:pPr>
            <w:r w:rsidRPr="00F63BDD">
              <w:rPr>
                <w:rFonts w:ascii="Calibri" w:hAnsi="Calibri" w:cs="Calibri"/>
                <w:b/>
                <w:color w:val="4F81BD"/>
                <w:sz w:val="24"/>
                <w:szCs w:val="24"/>
              </w:rPr>
              <w:t xml:space="preserve">If you have any enquiries on this paper, please contact </w:t>
            </w:r>
            <w:r w:rsidR="00A55890">
              <w:rPr>
                <w:rFonts w:ascii="Calibri" w:hAnsi="Calibri" w:cs="Calibri"/>
                <w:b/>
                <w:color w:val="4F81BD"/>
                <w:sz w:val="24"/>
                <w:szCs w:val="24"/>
              </w:rPr>
              <w:t>Simon Howard</w:t>
            </w:r>
            <w:r w:rsidRPr="00F63BDD">
              <w:rPr>
                <w:rFonts w:ascii="Calibri" w:hAnsi="Calibri" w:cs="Calibri"/>
                <w:b/>
                <w:color w:val="4F81BD"/>
                <w:sz w:val="24"/>
                <w:szCs w:val="24"/>
              </w:rPr>
              <w:t xml:space="preserve"> on </w:t>
            </w:r>
            <w:hyperlink r:id="rId9" w:history="1">
              <w:r w:rsidR="00CE2ADB" w:rsidRPr="008E435E">
                <w:rPr>
                  <w:rStyle w:val="Hyperlink"/>
                  <w:rFonts w:ascii="Calibri" w:hAnsi="Calibri" w:cs="Calibri"/>
                  <w:b/>
                  <w:sz w:val="24"/>
                  <w:szCs w:val="24"/>
                </w:rPr>
                <w:t>simonh@arb.org.uk</w:t>
              </w:r>
            </w:hyperlink>
            <w:r w:rsidR="00CE2ADB">
              <w:rPr>
                <w:rFonts w:ascii="Calibri" w:hAnsi="Calibri" w:cs="Calibri"/>
                <w:b/>
                <w:color w:val="4F81BD"/>
                <w:sz w:val="24"/>
                <w:szCs w:val="24"/>
              </w:rPr>
              <w:t xml:space="preserve"> </w:t>
            </w:r>
          </w:p>
        </w:tc>
      </w:tr>
    </w:tbl>
    <w:p w14:paraId="1A3EAB99" w14:textId="77777777" w:rsidR="005D356A" w:rsidRPr="0001471C" w:rsidRDefault="005D356A" w:rsidP="00B00031">
      <w:pPr>
        <w:ind w:left="567" w:hanging="567"/>
        <w:rPr>
          <w:rFonts w:ascii="Helvetica 65 Medium" w:hAnsi="Helvetica 65 Medium"/>
          <w:sz w:val="24"/>
          <w:szCs w:val="24"/>
        </w:rPr>
      </w:pPr>
    </w:p>
    <w:tbl>
      <w:tblPr>
        <w:tblW w:w="0" w:type="auto"/>
        <w:tblLook w:val="01E0" w:firstRow="1" w:lastRow="1" w:firstColumn="1" w:lastColumn="1" w:noHBand="0" w:noVBand="0"/>
      </w:tblPr>
      <w:tblGrid>
        <w:gridCol w:w="533"/>
        <w:gridCol w:w="16"/>
        <w:gridCol w:w="856"/>
        <w:gridCol w:w="8233"/>
      </w:tblGrid>
      <w:tr w:rsidR="00F353A7" w:rsidRPr="00F33A7F" w14:paraId="76F35EE6" w14:textId="77777777" w:rsidTr="0008581F">
        <w:tc>
          <w:tcPr>
            <w:tcW w:w="533" w:type="dxa"/>
            <w:vMerge w:val="restart"/>
            <w:shd w:val="clear" w:color="auto" w:fill="auto"/>
          </w:tcPr>
          <w:p w14:paraId="7149C779" w14:textId="77777777" w:rsidR="00F353A7" w:rsidRPr="00F63BDD" w:rsidRDefault="00F353A7" w:rsidP="00AC4BA1">
            <w:pPr>
              <w:spacing w:before="40"/>
              <w:jc w:val="both"/>
              <w:rPr>
                <w:rFonts w:ascii="Calibri" w:hAnsi="Calibri" w:cs="Calibri"/>
                <w:b/>
                <w:color w:val="4F81BD"/>
                <w:sz w:val="24"/>
                <w:szCs w:val="24"/>
              </w:rPr>
            </w:pPr>
            <w:r w:rsidRPr="00F63BDD">
              <w:rPr>
                <w:rFonts w:ascii="Calibri" w:hAnsi="Calibri" w:cs="Calibri"/>
                <w:b/>
                <w:color w:val="4F81BD"/>
                <w:sz w:val="24"/>
                <w:szCs w:val="24"/>
              </w:rPr>
              <w:t xml:space="preserve">1. </w:t>
            </w:r>
          </w:p>
        </w:tc>
        <w:tc>
          <w:tcPr>
            <w:tcW w:w="9105" w:type="dxa"/>
            <w:gridSpan w:val="3"/>
            <w:shd w:val="clear" w:color="auto" w:fill="auto"/>
          </w:tcPr>
          <w:p w14:paraId="36766452" w14:textId="77777777" w:rsidR="00F353A7" w:rsidRPr="00F63BDD" w:rsidRDefault="009316B0" w:rsidP="00AC4BA1">
            <w:pPr>
              <w:spacing w:before="40" w:after="40"/>
              <w:jc w:val="both"/>
              <w:rPr>
                <w:rFonts w:ascii="Calibri" w:hAnsi="Calibri" w:cs="Calibri"/>
                <w:b/>
                <w:color w:val="4F81BD"/>
                <w:sz w:val="24"/>
                <w:szCs w:val="24"/>
              </w:rPr>
            </w:pPr>
            <w:r>
              <w:rPr>
                <w:rFonts w:ascii="Calibri" w:hAnsi="Calibri" w:cs="Calibri"/>
                <w:b/>
                <w:color w:val="4F81BD"/>
                <w:sz w:val="24"/>
                <w:szCs w:val="24"/>
              </w:rPr>
              <w:t>Summary</w:t>
            </w:r>
          </w:p>
        </w:tc>
      </w:tr>
      <w:tr w:rsidR="00F353A7" w:rsidRPr="00F33A7F" w14:paraId="137E1BD3" w14:textId="77777777" w:rsidTr="0008581F">
        <w:tc>
          <w:tcPr>
            <w:tcW w:w="533" w:type="dxa"/>
            <w:vMerge/>
            <w:shd w:val="clear" w:color="auto" w:fill="auto"/>
          </w:tcPr>
          <w:p w14:paraId="718C97D6" w14:textId="77777777" w:rsidR="00F353A7" w:rsidRPr="00F33A7F" w:rsidRDefault="00F353A7" w:rsidP="00AC4BA1">
            <w:pPr>
              <w:spacing w:before="40"/>
              <w:jc w:val="both"/>
              <w:rPr>
                <w:rFonts w:ascii="Helvetica 65 Medium" w:hAnsi="Helvetica 65 Medium"/>
                <w:sz w:val="24"/>
                <w:szCs w:val="24"/>
              </w:rPr>
            </w:pPr>
          </w:p>
        </w:tc>
        <w:tc>
          <w:tcPr>
            <w:tcW w:w="9105" w:type="dxa"/>
            <w:gridSpan w:val="3"/>
            <w:shd w:val="clear" w:color="auto" w:fill="auto"/>
          </w:tcPr>
          <w:p w14:paraId="39A9D75E" w14:textId="2E1067E5" w:rsidR="00F353A7" w:rsidRDefault="00523CEA" w:rsidP="00A87549">
            <w:pPr>
              <w:spacing w:before="40" w:after="40"/>
              <w:jc w:val="both"/>
              <w:rPr>
                <w:rFonts w:ascii="Calibri" w:hAnsi="Calibri" w:cs="Calibri"/>
                <w:sz w:val="24"/>
                <w:szCs w:val="24"/>
              </w:rPr>
            </w:pPr>
            <w:r>
              <w:rPr>
                <w:rFonts w:ascii="Calibri" w:hAnsi="Calibri" w:cs="Calibri"/>
                <w:sz w:val="24"/>
                <w:szCs w:val="24"/>
              </w:rPr>
              <w:t>Following the publication of ARB’s Strategic Statement</w:t>
            </w:r>
            <w:r w:rsidR="00612FDC">
              <w:rPr>
                <w:rFonts w:ascii="Calibri" w:hAnsi="Calibri" w:cs="Calibri"/>
                <w:sz w:val="24"/>
                <w:szCs w:val="24"/>
              </w:rPr>
              <w:t>s</w:t>
            </w:r>
            <w:r>
              <w:rPr>
                <w:rFonts w:ascii="Calibri" w:hAnsi="Calibri" w:cs="Calibri"/>
                <w:sz w:val="24"/>
                <w:szCs w:val="24"/>
              </w:rPr>
              <w:t xml:space="preserve"> on </w:t>
            </w:r>
            <w:r w:rsidR="00612FDC">
              <w:rPr>
                <w:rFonts w:ascii="Calibri" w:hAnsi="Calibri" w:cs="Calibri"/>
                <w:sz w:val="24"/>
                <w:szCs w:val="24"/>
              </w:rPr>
              <w:t xml:space="preserve">Fire &amp; Life Safety Design and on </w:t>
            </w:r>
            <w:r w:rsidR="00764075">
              <w:rPr>
                <w:rFonts w:ascii="Calibri" w:hAnsi="Calibri" w:cs="Calibri"/>
                <w:sz w:val="24"/>
                <w:szCs w:val="24"/>
              </w:rPr>
              <w:t>Climate Change &amp; Sustainability</w:t>
            </w:r>
            <w:r>
              <w:rPr>
                <w:rFonts w:ascii="Calibri" w:hAnsi="Calibri" w:cs="Calibri"/>
                <w:sz w:val="24"/>
                <w:szCs w:val="24"/>
              </w:rPr>
              <w:t xml:space="preserve">, the Board resolved to </w:t>
            </w:r>
            <w:r w:rsidR="00A87549" w:rsidRPr="00A87549">
              <w:rPr>
                <w:rFonts w:ascii="Calibri" w:hAnsi="Calibri" w:cs="Calibri"/>
                <w:sz w:val="24"/>
                <w:szCs w:val="24"/>
              </w:rPr>
              <w:t>issue guidance to institutions seeking prescription and/or</w:t>
            </w:r>
            <w:r w:rsidR="00A87549">
              <w:rPr>
                <w:rFonts w:ascii="Calibri" w:hAnsi="Calibri" w:cs="Calibri"/>
                <w:sz w:val="24"/>
                <w:szCs w:val="24"/>
              </w:rPr>
              <w:t xml:space="preserve"> </w:t>
            </w:r>
            <w:r w:rsidR="00A87549" w:rsidRPr="00A87549">
              <w:rPr>
                <w:rFonts w:ascii="Calibri" w:hAnsi="Calibri" w:cs="Calibri"/>
                <w:sz w:val="24"/>
                <w:szCs w:val="24"/>
              </w:rPr>
              <w:t>offering ARB prescribed qualifications which sets out our interpretation</w:t>
            </w:r>
            <w:r w:rsidR="00A87549">
              <w:rPr>
                <w:rFonts w:ascii="Calibri" w:hAnsi="Calibri" w:cs="Calibri"/>
                <w:sz w:val="24"/>
                <w:szCs w:val="24"/>
              </w:rPr>
              <w:t xml:space="preserve"> </w:t>
            </w:r>
            <w:r w:rsidR="00A87549" w:rsidRPr="00A87549">
              <w:rPr>
                <w:rFonts w:ascii="Calibri" w:hAnsi="Calibri" w:cs="Calibri"/>
                <w:sz w:val="24"/>
                <w:szCs w:val="24"/>
              </w:rPr>
              <w:t>of the Criteria for the Prescription of Qualifications at Parts 1, 2 and 3</w:t>
            </w:r>
            <w:r w:rsidR="00A87549">
              <w:rPr>
                <w:rFonts w:ascii="Calibri" w:hAnsi="Calibri" w:cs="Calibri"/>
                <w:sz w:val="24"/>
                <w:szCs w:val="24"/>
              </w:rPr>
              <w:t>.</w:t>
            </w:r>
          </w:p>
          <w:p w14:paraId="43B7F6E8" w14:textId="77777777" w:rsidR="00A87549" w:rsidRDefault="00A87549" w:rsidP="00A87549">
            <w:pPr>
              <w:spacing w:before="40" w:after="40"/>
              <w:jc w:val="both"/>
              <w:rPr>
                <w:rFonts w:ascii="Calibri" w:hAnsi="Calibri" w:cs="Calibri"/>
                <w:sz w:val="24"/>
                <w:szCs w:val="24"/>
              </w:rPr>
            </w:pPr>
          </w:p>
          <w:p w14:paraId="0388003F" w14:textId="678180AE" w:rsidR="00A87549" w:rsidRPr="00F33A7F" w:rsidRDefault="00612FDC" w:rsidP="00941C2F">
            <w:pPr>
              <w:spacing w:before="40" w:after="40"/>
              <w:jc w:val="both"/>
              <w:rPr>
                <w:rFonts w:ascii="Calibri" w:hAnsi="Calibri" w:cs="Calibri"/>
                <w:sz w:val="24"/>
                <w:szCs w:val="24"/>
              </w:rPr>
            </w:pPr>
            <w:r>
              <w:rPr>
                <w:rFonts w:ascii="Calibri" w:hAnsi="Calibri" w:cs="Calibri"/>
                <w:sz w:val="24"/>
                <w:szCs w:val="24"/>
              </w:rPr>
              <w:t xml:space="preserve">That Guidance was issued for consultation, and the Board is now invited to consider the consultation responses and decide on whether </w:t>
            </w:r>
            <w:r w:rsidR="005357D4">
              <w:rPr>
                <w:rFonts w:ascii="Calibri" w:hAnsi="Calibri" w:cs="Calibri"/>
                <w:sz w:val="24"/>
                <w:szCs w:val="24"/>
              </w:rPr>
              <w:t>the updated</w:t>
            </w:r>
            <w:r>
              <w:rPr>
                <w:rFonts w:ascii="Calibri" w:hAnsi="Calibri" w:cs="Calibri"/>
                <w:sz w:val="24"/>
                <w:szCs w:val="24"/>
              </w:rPr>
              <w:t xml:space="preserve"> </w:t>
            </w:r>
            <w:r w:rsidR="000D0812">
              <w:rPr>
                <w:rFonts w:ascii="Calibri" w:hAnsi="Calibri" w:cs="Calibri"/>
                <w:sz w:val="24"/>
                <w:szCs w:val="24"/>
              </w:rPr>
              <w:t>G</w:t>
            </w:r>
            <w:r>
              <w:rPr>
                <w:rFonts w:ascii="Calibri" w:hAnsi="Calibri" w:cs="Calibri"/>
                <w:sz w:val="24"/>
                <w:szCs w:val="24"/>
              </w:rPr>
              <w:t>uidance should be issued.</w:t>
            </w:r>
          </w:p>
        </w:tc>
      </w:tr>
      <w:tr w:rsidR="00BC3C62" w:rsidRPr="00F33A7F" w14:paraId="20B7E24E" w14:textId="77777777" w:rsidTr="0008581F">
        <w:tc>
          <w:tcPr>
            <w:tcW w:w="533" w:type="dxa"/>
            <w:shd w:val="clear" w:color="auto" w:fill="auto"/>
          </w:tcPr>
          <w:p w14:paraId="67FE2433" w14:textId="77777777" w:rsidR="00BC3C62" w:rsidRPr="00F33A7F" w:rsidRDefault="00BC3C62" w:rsidP="00AC4BA1">
            <w:pPr>
              <w:spacing w:before="40"/>
              <w:jc w:val="both"/>
              <w:rPr>
                <w:rFonts w:ascii="Helvetica 65 Medium" w:hAnsi="Helvetica 65 Medium"/>
                <w:sz w:val="24"/>
                <w:szCs w:val="24"/>
              </w:rPr>
            </w:pPr>
          </w:p>
        </w:tc>
        <w:tc>
          <w:tcPr>
            <w:tcW w:w="9105" w:type="dxa"/>
            <w:gridSpan w:val="3"/>
            <w:shd w:val="clear" w:color="auto" w:fill="auto"/>
          </w:tcPr>
          <w:p w14:paraId="1BBF9B5C" w14:textId="77777777" w:rsidR="00BC3C62" w:rsidRPr="00F33A7F" w:rsidRDefault="00BC3C62" w:rsidP="00AC4BA1">
            <w:pPr>
              <w:spacing w:before="40" w:after="40"/>
              <w:jc w:val="both"/>
              <w:rPr>
                <w:rFonts w:ascii="Calibri" w:hAnsi="Calibri" w:cs="Calibri"/>
                <w:sz w:val="24"/>
                <w:szCs w:val="24"/>
              </w:rPr>
            </w:pPr>
          </w:p>
        </w:tc>
      </w:tr>
      <w:tr w:rsidR="003E5FDC" w:rsidRPr="00F33A7F" w14:paraId="41C393B8" w14:textId="77777777" w:rsidTr="0008581F">
        <w:tblPrEx>
          <w:shd w:val="clear" w:color="auto" w:fill="D9D9D9"/>
        </w:tblPrEx>
        <w:tc>
          <w:tcPr>
            <w:tcW w:w="533" w:type="dxa"/>
            <w:vMerge w:val="restart"/>
            <w:shd w:val="clear" w:color="auto" w:fill="D9D9D9"/>
          </w:tcPr>
          <w:p w14:paraId="4971818F" w14:textId="77777777" w:rsidR="003E5FDC" w:rsidRPr="00F63BDD" w:rsidRDefault="003E5FDC" w:rsidP="00AC4BA1">
            <w:pPr>
              <w:spacing w:before="40"/>
              <w:jc w:val="both"/>
              <w:rPr>
                <w:rFonts w:ascii="Calibri" w:hAnsi="Calibri" w:cs="Calibri"/>
                <w:b/>
                <w:color w:val="4F81BD"/>
                <w:sz w:val="24"/>
                <w:szCs w:val="24"/>
              </w:rPr>
            </w:pPr>
            <w:r w:rsidRPr="00F63BDD">
              <w:rPr>
                <w:rFonts w:ascii="Calibri" w:hAnsi="Calibri" w:cs="Calibri"/>
                <w:b/>
                <w:color w:val="4F81BD"/>
                <w:sz w:val="24"/>
                <w:szCs w:val="24"/>
              </w:rPr>
              <w:t xml:space="preserve">2. </w:t>
            </w:r>
          </w:p>
        </w:tc>
        <w:tc>
          <w:tcPr>
            <w:tcW w:w="9105" w:type="dxa"/>
            <w:gridSpan w:val="3"/>
            <w:shd w:val="clear" w:color="auto" w:fill="D9D9D9"/>
          </w:tcPr>
          <w:p w14:paraId="22841FC5" w14:textId="77777777" w:rsidR="003E5FDC" w:rsidRPr="00F63BDD" w:rsidRDefault="003E5FDC" w:rsidP="00AC4BA1">
            <w:pPr>
              <w:spacing w:before="40" w:after="40"/>
              <w:jc w:val="both"/>
              <w:rPr>
                <w:rFonts w:ascii="Calibri" w:hAnsi="Calibri" w:cs="Calibri"/>
                <w:b/>
                <w:color w:val="4F81BD"/>
                <w:sz w:val="24"/>
                <w:szCs w:val="24"/>
              </w:rPr>
            </w:pPr>
            <w:r w:rsidRPr="00F63BDD">
              <w:rPr>
                <w:rFonts w:ascii="Calibri" w:hAnsi="Calibri" w:cs="Calibri"/>
                <w:b/>
                <w:color w:val="4F81BD"/>
                <w:sz w:val="24"/>
                <w:szCs w:val="24"/>
              </w:rPr>
              <w:t>Recommendations</w:t>
            </w:r>
          </w:p>
        </w:tc>
      </w:tr>
      <w:tr w:rsidR="003E5FDC" w:rsidRPr="00F33A7F" w14:paraId="353ED948" w14:textId="77777777" w:rsidTr="0008581F">
        <w:tblPrEx>
          <w:shd w:val="clear" w:color="auto" w:fill="D9D9D9"/>
        </w:tblPrEx>
        <w:tc>
          <w:tcPr>
            <w:tcW w:w="533" w:type="dxa"/>
            <w:vMerge/>
            <w:shd w:val="clear" w:color="auto" w:fill="D9D9D9"/>
          </w:tcPr>
          <w:p w14:paraId="0706DACE" w14:textId="77777777" w:rsidR="003E5FDC" w:rsidRPr="00F33A7F" w:rsidRDefault="003E5FDC" w:rsidP="00AC4BA1">
            <w:pPr>
              <w:spacing w:before="40"/>
              <w:jc w:val="both"/>
              <w:rPr>
                <w:rFonts w:ascii="Calibri" w:hAnsi="Calibri" w:cs="Calibri"/>
                <w:sz w:val="24"/>
                <w:szCs w:val="24"/>
              </w:rPr>
            </w:pPr>
          </w:p>
        </w:tc>
        <w:tc>
          <w:tcPr>
            <w:tcW w:w="9105" w:type="dxa"/>
            <w:gridSpan w:val="3"/>
            <w:shd w:val="clear" w:color="auto" w:fill="D9D9D9"/>
          </w:tcPr>
          <w:p w14:paraId="2B2B3FE4" w14:textId="05086DC3" w:rsidR="00A45F9B" w:rsidRPr="00F33A7F" w:rsidRDefault="00E97A60" w:rsidP="00A45F9B">
            <w:pPr>
              <w:spacing w:before="40" w:after="40"/>
              <w:jc w:val="both"/>
              <w:rPr>
                <w:rFonts w:ascii="Calibri" w:hAnsi="Calibri" w:cs="Calibri"/>
                <w:sz w:val="24"/>
                <w:szCs w:val="24"/>
              </w:rPr>
            </w:pPr>
            <w:r w:rsidRPr="00F33A7F">
              <w:rPr>
                <w:rFonts w:ascii="Calibri" w:hAnsi="Calibri" w:cs="Calibri"/>
                <w:sz w:val="24"/>
                <w:szCs w:val="24"/>
              </w:rPr>
              <w:t>It is recommended that</w:t>
            </w:r>
            <w:r>
              <w:rPr>
                <w:rFonts w:ascii="Calibri" w:hAnsi="Calibri" w:cs="Calibri"/>
                <w:sz w:val="24"/>
                <w:szCs w:val="24"/>
              </w:rPr>
              <w:t xml:space="preserve"> </w:t>
            </w:r>
            <w:r w:rsidRPr="00F33A7F">
              <w:rPr>
                <w:rFonts w:ascii="Calibri" w:hAnsi="Calibri" w:cs="Calibri"/>
                <w:sz w:val="24"/>
                <w:szCs w:val="24"/>
              </w:rPr>
              <w:t>the Board</w:t>
            </w:r>
            <w:r w:rsidR="003201E6">
              <w:rPr>
                <w:rFonts w:ascii="Calibri" w:hAnsi="Calibri" w:cs="Calibri"/>
                <w:sz w:val="24"/>
                <w:szCs w:val="24"/>
              </w:rPr>
              <w:t>:</w:t>
            </w:r>
          </w:p>
        </w:tc>
      </w:tr>
      <w:tr w:rsidR="003201E6" w:rsidRPr="00F33A7F" w14:paraId="2E62FBF5" w14:textId="77777777" w:rsidTr="0008581F">
        <w:tblPrEx>
          <w:shd w:val="clear" w:color="auto" w:fill="D9D9D9"/>
        </w:tblPrEx>
        <w:tc>
          <w:tcPr>
            <w:tcW w:w="533" w:type="dxa"/>
            <w:shd w:val="clear" w:color="auto" w:fill="D9D9D9"/>
          </w:tcPr>
          <w:p w14:paraId="246AD263" w14:textId="77777777" w:rsidR="003201E6" w:rsidRPr="00F33A7F" w:rsidRDefault="003201E6" w:rsidP="00AC4BA1">
            <w:pPr>
              <w:spacing w:before="40"/>
              <w:jc w:val="both"/>
              <w:rPr>
                <w:rFonts w:ascii="Calibri" w:hAnsi="Calibri" w:cs="Calibri"/>
                <w:sz w:val="24"/>
                <w:szCs w:val="24"/>
              </w:rPr>
            </w:pPr>
          </w:p>
        </w:tc>
        <w:tc>
          <w:tcPr>
            <w:tcW w:w="9105" w:type="dxa"/>
            <w:gridSpan w:val="3"/>
            <w:shd w:val="clear" w:color="auto" w:fill="D9D9D9"/>
          </w:tcPr>
          <w:p w14:paraId="07C0B20A" w14:textId="7C79A9EE" w:rsidR="00B56D8E" w:rsidRDefault="00B56D8E" w:rsidP="003201E6">
            <w:pPr>
              <w:pStyle w:val="ListParagraph"/>
              <w:numPr>
                <w:ilvl w:val="0"/>
                <w:numId w:val="28"/>
              </w:numPr>
              <w:spacing w:before="40" w:after="40"/>
              <w:jc w:val="both"/>
              <w:rPr>
                <w:rFonts w:ascii="Calibri" w:hAnsi="Calibri" w:cs="Calibri"/>
                <w:sz w:val="24"/>
                <w:szCs w:val="24"/>
              </w:rPr>
            </w:pPr>
            <w:r>
              <w:rPr>
                <w:rFonts w:ascii="Calibri" w:hAnsi="Calibri" w:cs="Calibri"/>
                <w:sz w:val="24"/>
                <w:szCs w:val="24"/>
              </w:rPr>
              <w:t xml:space="preserve">Notes the consultation report at </w:t>
            </w:r>
            <w:r w:rsidRPr="00B56D8E">
              <w:rPr>
                <w:rFonts w:ascii="Calibri" w:hAnsi="Calibri" w:cs="Calibri"/>
                <w:b/>
                <w:bCs/>
                <w:color w:val="4F81BD" w:themeColor="accent1"/>
                <w:sz w:val="24"/>
                <w:szCs w:val="24"/>
              </w:rPr>
              <w:t>Appendix A</w:t>
            </w:r>
          </w:p>
          <w:p w14:paraId="57F64E8A" w14:textId="5012B29D" w:rsidR="00B56D8E" w:rsidRPr="00B56D8E" w:rsidRDefault="000D0812" w:rsidP="00B56D8E">
            <w:pPr>
              <w:pStyle w:val="ListParagraph"/>
              <w:numPr>
                <w:ilvl w:val="0"/>
                <w:numId w:val="28"/>
              </w:numPr>
              <w:spacing w:before="40" w:after="40"/>
              <w:jc w:val="both"/>
              <w:rPr>
                <w:rFonts w:ascii="Calibri" w:hAnsi="Calibri" w:cs="Calibri"/>
                <w:sz w:val="24"/>
                <w:szCs w:val="24"/>
              </w:rPr>
            </w:pPr>
            <w:r>
              <w:rPr>
                <w:rFonts w:ascii="Calibri" w:hAnsi="Calibri" w:cs="Calibri"/>
                <w:sz w:val="24"/>
                <w:szCs w:val="24"/>
              </w:rPr>
              <w:t xml:space="preserve">Approves </w:t>
            </w:r>
            <w:r w:rsidR="00B56D8E">
              <w:rPr>
                <w:rFonts w:ascii="Calibri" w:hAnsi="Calibri" w:cs="Calibri"/>
                <w:sz w:val="24"/>
                <w:szCs w:val="24"/>
              </w:rPr>
              <w:t xml:space="preserve">the Guidance to Institutions on Sustainability at </w:t>
            </w:r>
            <w:r w:rsidR="00B56D8E" w:rsidRPr="00A87549">
              <w:rPr>
                <w:rFonts w:ascii="Calibri" w:hAnsi="Calibri" w:cs="Calibri"/>
                <w:b/>
                <w:color w:val="4F81BD" w:themeColor="accent1"/>
                <w:sz w:val="24"/>
                <w:szCs w:val="24"/>
              </w:rPr>
              <w:t xml:space="preserve">Appendix </w:t>
            </w:r>
            <w:r w:rsidR="00B56D8E">
              <w:rPr>
                <w:rFonts w:ascii="Calibri" w:hAnsi="Calibri" w:cs="Calibri"/>
                <w:b/>
                <w:color w:val="4F81BD" w:themeColor="accent1"/>
                <w:sz w:val="24"/>
                <w:szCs w:val="24"/>
              </w:rPr>
              <w:t>B</w:t>
            </w:r>
            <w:r w:rsidR="00B56D8E" w:rsidRPr="00A87549">
              <w:rPr>
                <w:rFonts w:ascii="Calibri" w:hAnsi="Calibri" w:cs="Calibri"/>
                <w:color w:val="4F81BD" w:themeColor="accent1"/>
                <w:sz w:val="24"/>
                <w:szCs w:val="24"/>
              </w:rPr>
              <w:t xml:space="preserve"> </w:t>
            </w:r>
            <w:r w:rsidR="00B56D8E">
              <w:rPr>
                <w:rFonts w:ascii="Calibri" w:hAnsi="Calibri" w:cs="Calibri"/>
                <w:sz w:val="24"/>
                <w:szCs w:val="24"/>
              </w:rPr>
              <w:t xml:space="preserve">and on Fire &amp; Life Safety Design at </w:t>
            </w:r>
            <w:r w:rsidR="00B56D8E" w:rsidRPr="00612FDC">
              <w:rPr>
                <w:rFonts w:ascii="Calibri" w:hAnsi="Calibri" w:cs="Calibri"/>
                <w:b/>
                <w:bCs/>
                <w:color w:val="4F81BD" w:themeColor="accent1"/>
                <w:sz w:val="24"/>
                <w:szCs w:val="24"/>
              </w:rPr>
              <w:t xml:space="preserve">Appendix </w:t>
            </w:r>
            <w:r w:rsidR="00B56D8E">
              <w:rPr>
                <w:rFonts w:ascii="Calibri" w:hAnsi="Calibri" w:cs="Calibri"/>
                <w:b/>
                <w:bCs/>
                <w:color w:val="4F81BD" w:themeColor="accent1"/>
                <w:sz w:val="24"/>
                <w:szCs w:val="24"/>
              </w:rPr>
              <w:t>C</w:t>
            </w:r>
            <w:r w:rsidRPr="000D0812">
              <w:rPr>
                <w:rFonts w:ascii="Calibri" w:hAnsi="Calibri" w:cs="Calibri"/>
                <w:sz w:val="24"/>
                <w:szCs w:val="24"/>
              </w:rPr>
              <w:t xml:space="preserve"> with the changes identified following </w:t>
            </w:r>
            <w:proofErr w:type="gramStart"/>
            <w:r w:rsidRPr="000D0812">
              <w:rPr>
                <w:rFonts w:ascii="Calibri" w:hAnsi="Calibri" w:cs="Calibri"/>
                <w:sz w:val="24"/>
                <w:szCs w:val="24"/>
              </w:rPr>
              <w:t>consultation</w:t>
            </w:r>
            <w:proofErr w:type="gramEnd"/>
          </w:p>
          <w:p w14:paraId="29643F6B" w14:textId="77777777" w:rsidR="003201E6" w:rsidRDefault="003201E6" w:rsidP="003201E6">
            <w:pPr>
              <w:pStyle w:val="ListParagraph"/>
              <w:numPr>
                <w:ilvl w:val="0"/>
                <w:numId w:val="28"/>
              </w:numPr>
              <w:spacing w:before="40" w:after="40"/>
              <w:jc w:val="both"/>
              <w:rPr>
                <w:rFonts w:ascii="Calibri" w:hAnsi="Calibri" w:cs="Calibri"/>
                <w:sz w:val="24"/>
                <w:szCs w:val="24"/>
              </w:rPr>
            </w:pPr>
            <w:r>
              <w:rPr>
                <w:rFonts w:ascii="Calibri" w:hAnsi="Calibri" w:cs="Calibri"/>
                <w:sz w:val="24"/>
                <w:szCs w:val="24"/>
              </w:rPr>
              <w:t xml:space="preserve">Makes that Guidance effective from </w:t>
            </w:r>
            <w:r w:rsidRPr="008D2566">
              <w:rPr>
                <w:rFonts w:ascii="Calibri" w:hAnsi="Calibri" w:cs="Calibri"/>
                <w:sz w:val="24"/>
                <w:szCs w:val="24"/>
              </w:rPr>
              <w:t xml:space="preserve">1 September </w:t>
            </w:r>
            <w:proofErr w:type="gramStart"/>
            <w:r w:rsidRPr="008D2566">
              <w:rPr>
                <w:rFonts w:ascii="Calibri" w:hAnsi="Calibri" w:cs="Calibri"/>
                <w:sz w:val="24"/>
                <w:szCs w:val="24"/>
              </w:rPr>
              <w:t>2021</w:t>
            </w:r>
            <w:proofErr w:type="gramEnd"/>
          </w:p>
          <w:p w14:paraId="3115DA43" w14:textId="14B74274" w:rsidR="003201E6" w:rsidRPr="003201E6" w:rsidRDefault="003201E6" w:rsidP="003201E6">
            <w:pPr>
              <w:pStyle w:val="ListParagraph"/>
              <w:numPr>
                <w:ilvl w:val="0"/>
                <w:numId w:val="28"/>
              </w:numPr>
              <w:spacing w:before="40" w:after="40"/>
              <w:jc w:val="both"/>
              <w:rPr>
                <w:rFonts w:ascii="Calibri" w:hAnsi="Calibri" w:cs="Calibri"/>
                <w:sz w:val="24"/>
                <w:szCs w:val="24"/>
              </w:rPr>
            </w:pPr>
            <w:r>
              <w:rPr>
                <w:rFonts w:ascii="Calibri" w:hAnsi="Calibri" w:cs="Calibri"/>
                <w:sz w:val="24"/>
                <w:szCs w:val="24"/>
              </w:rPr>
              <w:t xml:space="preserve">Monitors compliance with the Guidance through </w:t>
            </w:r>
            <w:r w:rsidR="003443F1">
              <w:rPr>
                <w:rFonts w:ascii="Calibri" w:hAnsi="Calibri" w:cs="Calibri"/>
                <w:sz w:val="24"/>
                <w:szCs w:val="24"/>
              </w:rPr>
              <w:t>its existing prescription processes</w:t>
            </w:r>
          </w:p>
        </w:tc>
      </w:tr>
      <w:tr w:rsidR="00BC3C62" w:rsidRPr="00F33A7F" w14:paraId="021A3303" w14:textId="77777777" w:rsidTr="0008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3" w:type="dxa"/>
            <w:tcBorders>
              <w:top w:val="nil"/>
              <w:left w:val="nil"/>
              <w:bottom w:val="nil"/>
              <w:right w:val="nil"/>
            </w:tcBorders>
            <w:shd w:val="clear" w:color="auto" w:fill="auto"/>
          </w:tcPr>
          <w:p w14:paraId="472275A0" w14:textId="77777777" w:rsidR="00BC3C62" w:rsidRPr="00F33A7F" w:rsidRDefault="00BC3C62" w:rsidP="00AC4BA1">
            <w:pPr>
              <w:spacing w:before="40"/>
              <w:jc w:val="both"/>
              <w:rPr>
                <w:rFonts w:ascii="Calibri" w:hAnsi="Calibri" w:cs="Calibri"/>
                <w:b/>
                <w:sz w:val="24"/>
                <w:szCs w:val="24"/>
              </w:rPr>
            </w:pPr>
          </w:p>
        </w:tc>
        <w:tc>
          <w:tcPr>
            <w:tcW w:w="9105" w:type="dxa"/>
            <w:gridSpan w:val="3"/>
            <w:tcBorders>
              <w:top w:val="nil"/>
              <w:left w:val="nil"/>
              <w:bottom w:val="nil"/>
              <w:right w:val="nil"/>
            </w:tcBorders>
            <w:shd w:val="clear" w:color="auto" w:fill="auto"/>
          </w:tcPr>
          <w:p w14:paraId="10074622" w14:textId="77777777" w:rsidR="00BC3C62" w:rsidRPr="00F33A7F" w:rsidRDefault="00BC3C62" w:rsidP="00AC4BA1">
            <w:pPr>
              <w:spacing w:before="40" w:after="40"/>
              <w:jc w:val="both"/>
              <w:rPr>
                <w:rFonts w:ascii="Calibri" w:hAnsi="Calibri" w:cs="Calibri"/>
                <w:b/>
                <w:sz w:val="24"/>
                <w:szCs w:val="24"/>
              </w:rPr>
            </w:pPr>
          </w:p>
        </w:tc>
      </w:tr>
      <w:tr w:rsidR="003C4F1D" w:rsidRPr="00F33A7F" w14:paraId="4B79914B" w14:textId="77777777" w:rsidTr="0008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3" w:type="dxa"/>
            <w:vMerge w:val="restart"/>
            <w:tcBorders>
              <w:top w:val="nil"/>
              <w:left w:val="nil"/>
              <w:bottom w:val="nil"/>
              <w:right w:val="nil"/>
            </w:tcBorders>
            <w:shd w:val="clear" w:color="auto" w:fill="auto"/>
          </w:tcPr>
          <w:p w14:paraId="4223B775" w14:textId="77777777" w:rsidR="003C4F1D" w:rsidRPr="001231B0" w:rsidRDefault="003C4F1D" w:rsidP="00AC4BA1">
            <w:pPr>
              <w:spacing w:before="40"/>
              <w:jc w:val="both"/>
              <w:rPr>
                <w:rFonts w:ascii="Calibri" w:hAnsi="Calibri" w:cs="Calibri"/>
                <w:b/>
                <w:color w:val="4F81BD"/>
                <w:sz w:val="24"/>
                <w:szCs w:val="24"/>
              </w:rPr>
            </w:pPr>
            <w:r w:rsidRPr="001231B0">
              <w:rPr>
                <w:rFonts w:ascii="Calibri" w:hAnsi="Calibri" w:cs="Calibri"/>
                <w:b/>
                <w:color w:val="4F81BD"/>
                <w:sz w:val="24"/>
                <w:szCs w:val="24"/>
              </w:rPr>
              <w:t xml:space="preserve">3. </w:t>
            </w:r>
          </w:p>
        </w:tc>
        <w:tc>
          <w:tcPr>
            <w:tcW w:w="9105" w:type="dxa"/>
            <w:gridSpan w:val="3"/>
            <w:tcBorders>
              <w:top w:val="nil"/>
              <w:left w:val="nil"/>
              <w:bottom w:val="nil"/>
              <w:right w:val="nil"/>
            </w:tcBorders>
            <w:shd w:val="clear" w:color="auto" w:fill="auto"/>
          </w:tcPr>
          <w:p w14:paraId="6F41D447" w14:textId="77777777" w:rsidR="003C4F1D" w:rsidRPr="001231B0" w:rsidRDefault="003C4F1D" w:rsidP="00AC4BA1">
            <w:pPr>
              <w:spacing w:before="40" w:after="40"/>
              <w:jc w:val="both"/>
              <w:rPr>
                <w:rFonts w:ascii="Calibri" w:hAnsi="Calibri" w:cs="Calibri"/>
                <w:b/>
                <w:color w:val="4F81BD"/>
                <w:sz w:val="24"/>
                <w:szCs w:val="24"/>
              </w:rPr>
            </w:pPr>
            <w:r w:rsidRPr="001231B0">
              <w:rPr>
                <w:rFonts w:ascii="Calibri" w:hAnsi="Calibri" w:cs="Calibri"/>
                <w:b/>
                <w:color w:val="4F81BD"/>
                <w:sz w:val="24"/>
                <w:szCs w:val="24"/>
              </w:rPr>
              <w:t xml:space="preserve">Terms of Reference </w:t>
            </w:r>
          </w:p>
        </w:tc>
      </w:tr>
      <w:tr w:rsidR="003C4F1D" w:rsidRPr="00F33A7F" w14:paraId="5152C023" w14:textId="77777777" w:rsidTr="0008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3" w:type="dxa"/>
            <w:vMerge/>
            <w:tcBorders>
              <w:top w:val="nil"/>
              <w:left w:val="nil"/>
              <w:bottom w:val="nil"/>
              <w:right w:val="nil"/>
            </w:tcBorders>
            <w:shd w:val="clear" w:color="auto" w:fill="auto"/>
          </w:tcPr>
          <w:p w14:paraId="11C7BA7F" w14:textId="77777777" w:rsidR="003C4F1D" w:rsidRPr="006374FB" w:rsidRDefault="003C4F1D" w:rsidP="00AC4BA1">
            <w:pPr>
              <w:spacing w:before="40"/>
              <w:jc w:val="both"/>
              <w:rPr>
                <w:rFonts w:ascii="Helvetica 65 Medium" w:hAnsi="Helvetica 65 Medium"/>
                <w:sz w:val="24"/>
                <w:szCs w:val="24"/>
              </w:rPr>
            </w:pPr>
          </w:p>
        </w:tc>
        <w:tc>
          <w:tcPr>
            <w:tcW w:w="9105" w:type="dxa"/>
            <w:gridSpan w:val="3"/>
            <w:tcBorders>
              <w:top w:val="nil"/>
              <w:left w:val="nil"/>
              <w:bottom w:val="nil"/>
              <w:right w:val="nil"/>
            </w:tcBorders>
            <w:shd w:val="clear" w:color="auto" w:fill="auto"/>
          </w:tcPr>
          <w:p w14:paraId="364A6238" w14:textId="77777777" w:rsidR="007F679A" w:rsidRDefault="007F679A" w:rsidP="007F679A">
            <w:pPr>
              <w:spacing w:before="40" w:after="40"/>
              <w:jc w:val="both"/>
              <w:rPr>
                <w:rFonts w:asciiTheme="minorHAnsi" w:hAnsiTheme="minorHAnsi"/>
                <w:sz w:val="24"/>
                <w:szCs w:val="24"/>
              </w:rPr>
            </w:pPr>
            <w:r>
              <w:rPr>
                <w:rFonts w:asciiTheme="minorHAnsi" w:hAnsiTheme="minorHAnsi"/>
                <w:sz w:val="24"/>
                <w:szCs w:val="24"/>
              </w:rPr>
              <w:t>The Architects Act 1997 states the following:</w:t>
            </w:r>
          </w:p>
          <w:p w14:paraId="5EA6CE24" w14:textId="77777777" w:rsidR="007F679A" w:rsidRDefault="007F679A" w:rsidP="007F679A">
            <w:pPr>
              <w:spacing w:before="40" w:after="40"/>
              <w:jc w:val="both"/>
              <w:rPr>
                <w:rFonts w:asciiTheme="minorHAnsi" w:hAnsiTheme="minorHAnsi"/>
                <w:sz w:val="24"/>
                <w:szCs w:val="24"/>
              </w:rPr>
            </w:pPr>
          </w:p>
          <w:p w14:paraId="403F2613" w14:textId="77777777" w:rsidR="007F679A" w:rsidRPr="005B04D9" w:rsidRDefault="007F679A" w:rsidP="007F679A">
            <w:pPr>
              <w:spacing w:before="40" w:after="40"/>
              <w:jc w:val="both"/>
              <w:rPr>
                <w:rFonts w:ascii="Calibri" w:hAnsi="Calibri" w:cs="Calibri"/>
                <w:i/>
                <w:iCs/>
                <w:sz w:val="24"/>
                <w:szCs w:val="24"/>
              </w:rPr>
            </w:pPr>
            <w:r w:rsidRPr="005B04D9">
              <w:rPr>
                <w:rFonts w:asciiTheme="minorHAnsi" w:hAnsiTheme="minorHAnsi"/>
                <w:i/>
                <w:iCs/>
                <w:sz w:val="24"/>
                <w:szCs w:val="24"/>
              </w:rPr>
              <w:t xml:space="preserve">Section </w:t>
            </w:r>
            <w:proofErr w:type="gramStart"/>
            <w:r w:rsidRPr="005B04D9">
              <w:rPr>
                <w:rFonts w:asciiTheme="minorHAnsi" w:hAnsiTheme="minorHAnsi"/>
                <w:i/>
                <w:iCs/>
                <w:sz w:val="24"/>
                <w:szCs w:val="24"/>
              </w:rPr>
              <w:t>4.-(</w:t>
            </w:r>
            <w:proofErr w:type="gramEnd"/>
            <w:r w:rsidRPr="005B04D9">
              <w:rPr>
                <w:rFonts w:asciiTheme="minorHAnsi" w:hAnsiTheme="minorHAnsi"/>
                <w:i/>
                <w:iCs/>
                <w:sz w:val="24"/>
                <w:szCs w:val="24"/>
              </w:rPr>
              <w:t>1) A person who has applied to the Registrar in the prescribed manner for registration in pursuance of this section is entitled to be registered in Part 1 of the Register; if</w:t>
            </w:r>
          </w:p>
          <w:p w14:paraId="51A48F6D" w14:textId="77777777" w:rsidR="007F679A" w:rsidRPr="005B04D9" w:rsidRDefault="007F679A" w:rsidP="007F679A">
            <w:pPr>
              <w:spacing w:before="40" w:after="40"/>
              <w:ind w:left="742"/>
              <w:jc w:val="both"/>
              <w:rPr>
                <w:rFonts w:asciiTheme="minorHAnsi" w:hAnsiTheme="minorHAnsi"/>
                <w:i/>
                <w:iCs/>
                <w:sz w:val="24"/>
                <w:szCs w:val="24"/>
              </w:rPr>
            </w:pPr>
          </w:p>
          <w:p w14:paraId="43C811B3" w14:textId="77777777" w:rsidR="00FC111F" w:rsidRPr="005B04D9" w:rsidRDefault="007F679A" w:rsidP="00FC111F">
            <w:pPr>
              <w:pStyle w:val="ListParagraph"/>
              <w:numPr>
                <w:ilvl w:val="0"/>
                <w:numId w:val="26"/>
              </w:numPr>
              <w:spacing w:before="40" w:after="40"/>
              <w:jc w:val="both"/>
              <w:rPr>
                <w:rFonts w:asciiTheme="minorHAnsi" w:hAnsiTheme="minorHAnsi"/>
                <w:i/>
                <w:iCs/>
                <w:sz w:val="24"/>
                <w:szCs w:val="24"/>
              </w:rPr>
            </w:pPr>
            <w:r w:rsidRPr="005B04D9">
              <w:rPr>
                <w:rFonts w:asciiTheme="minorHAnsi" w:hAnsiTheme="minorHAnsi"/>
                <w:i/>
                <w:iCs/>
                <w:sz w:val="24"/>
                <w:szCs w:val="24"/>
              </w:rPr>
              <w:t xml:space="preserve">he holds such qualifications and has gained such practical experience as may be prescribed; or </w:t>
            </w:r>
          </w:p>
          <w:p w14:paraId="7DFF970D" w14:textId="5201EC07" w:rsidR="00FC111F" w:rsidRPr="00D9050B" w:rsidRDefault="007F679A" w:rsidP="00D9050B">
            <w:pPr>
              <w:pStyle w:val="ListParagraph"/>
              <w:numPr>
                <w:ilvl w:val="0"/>
                <w:numId w:val="26"/>
              </w:numPr>
              <w:spacing w:before="40" w:after="40"/>
              <w:jc w:val="both"/>
              <w:rPr>
                <w:rFonts w:asciiTheme="minorHAnsi" w:hAnsiTheme="minorHAnsi"/>
                <w:sz w:val="24"/>
                <w:szCs w:val="24"/>
              </w:rPr>
            </w:pPr>
            <w:r w:rsidRPr="005B04D9">
              <w:rPr>
                <w:rFonts w:asciiTheme="minorHAnsi" w:hAnsiTheme="minorHAnsi"/>
                <w:i/>
                <w:iCs/>
                <w:sz w:val="24"/>
                <w:szCs w:val="24"/>
              </w:rPr>
              <w:t>he has a standard of competence which, in the opinion of the Board, is equivalent to that demonstrated by satisfying paragraph (a).</w:t>
            </w:r>
            <w:r>
              <w:t xml:space="preserve"> </w:t>
            </w:r>
          </w:p>
        </w:tc>
      </w:tr>
      <w:tr w:rsidR="00CD7807" w:rsidRPr="00F33A7F" w14:paraId="3CA7BB31" w14:textId="77777777" w:rsidTr="0008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3" w:type="dxa"/>
            <w:tcBorders>
              <w:top w:val="nil"/>
              <w:left w:val="nil"/>
              <w:bottom w:val="nil"/>
              <w:right w:val="nil"/>
            </w:tcBorders>
            <w:shd w:val="clear" w:color="auto" w:fill="auto"/>
          </w:tcPr>
          <w:p w14:paraId="13D9656E" w14:textId="77777777" w:rsidR="00CD7807" w:rsidRPr="00F33A7F" w:rsidRDefault="00CD7807" w:rsidP="00AC4BA1">
            <w:pPr>
              <w:spacing w:before="40"/>
              <w:jc w:val="both"/>
              <w:rPr>
                <w:rFonts w:ascii="Helvetica 65 Medium" w:hAnsi="Helvetica 65 Medium"/>
                <w:sz w:val="24"/>
                <w:szCs w:val="24"/>
              </w:rPr>
            </w:pPr>
          </w:p>
        </w:tc>
        <w:tc>
          <w:tcPr>
            <w:tcW w:w="9105" w:type="dxa"/>
            <w:gridSpan w:val="3"/>
            <w:tcBorders>
              <w:top w:val="nil"/>
              <w:left w:val="nil"/>
              <w:bottom w:val="nil"/>
              <w:right w:val="nil"/>
            </w:tcBorders>
            <w:shd w:val="clear" w:color="auto" w:fill="auto"/>
          </w:tcPr>
          <w:p w14:paraId="1614F27F" w14:textId="77777777" w:rsidR="00CD7807" w:rsidRPr="00F33A7F" w:rsidRDefault="00CD7807" w:rsidP="00AC4BA1">
            <w:pPr>
              <w:spacing w:before="40" w:after="40"/>
              <w:jc w:val="both"/>
              <w:rPr>
                <w:rFonts w:ascii="Calibri" w:hAnsi="Calibri" w:cs="Calibri"/>
                <w:sz w:val="24"/>
                <w:szCs w:val="24"/>
              </w:rPr>
            </w:pPr>
          </w:p>
        </w:tc>
      </w:tr>
      <w:tr w:rsidR="00596E1B" w:rsidRPr="00F33A7F" w14:paraId="11175A11" w14:textId="77777777" w:rsidTr="0008581F">
        <w:tc>
          <w:tcPr>
            <w:tcW w:w="533" w:type="dxa"/>
            <w:vMerge w:val="restart"/>
            <w:shd w:val="clear" w:color="auto" w:fill="auto"/>
          </w:tcPr>
          <w:p w14:paraId="09C52477" w14:textId="2293CEF1" w:rsidR="00596E1B" w:rsidRPr="00F63BDD" w:rsidRDefault="00EF22B0" w:rsidP="00AC4BA1">
            <w:pPr>
              <w:spacing w:before="40"/>
              <w:jc w:val="both"/>
              <w:rPr>
                <w:rFonts w:ascii="Calibri" w:hAnsi="Calibri" w:cs="Calibri"/>
                <w:b/>
                <w:color w:val="4F81BD"/>
                <w:sz w:val="24"/>
                <w:szCs w:val="24"/>
              </w:rPr>
            </w:pPr>
            <w:r>
              <w:rPr>
                <w:rFonts w:ascii="Calibri" w:hAnsi="Calibri" w:cs="Calibri"/>
                <w:b/>
                <w:color w:val="4F81BD"/>
                <w:sz w:val="24"/>
                <w:szCs w:val="24"/>
              </w:rPr>
              <w:lastRenderedPageBreak/>
              <w:t>4</w:t>
            </w:r>
            <w:r w:rsidR="00596E1B" w:rsidRPr="00F63BDD">
              <w:rPr>
                <w:rFonts w:ascii="Calibri" w:hAnsi="Calibri" w:cs="Calibri"/>
                <w:b/>
                <w:color w:val="4F81BD"/>
                <w:sz w:val="24"/>
                <w:szCs w:val="24"/>
              </w:rPr>
              <w:t xml:space="preserve">. </w:t>
            </w:r>
          </w:p>
        </w:tc>
        <w:tc>
          <w:tcPr>
            <w:tcW w:w="9105" w:type="dxa"/>
            <w:gridSpan w:val="3"/>
            <w:shd w:val="clear" w:color="auto" w:fill="auto"/>
          </w:tcPr>
          <w:p w14:paraId="6B149EA7" w14:textId="77777777" w:rsidR="00596E1B" w:rsidRPr="00F63BDD" w:rsidRDefault="00596E1B" w:rsidP="00AC4BA1">
            <w:pPr>
              <w:spacing w:before="40" w:after="40"/>
              <w:ind w:left="567" w:hanging="567"/>
              <w:jc w:val="both"/>
              <w:rPr>
                <w:rFonts w:ascii="Calibri" w:hAnsi="Calibri" w:cs="Calibri"/>
                <w:b/>
                <w:color w:val="4F81BD"/>
                <w:sz w:val="24"/>
                <w:szCs w:val="24"/>
              </w:rPr>
            </w:pPr>
            <w:r w:rsidRPr="00F63BDD">
              <w:rPr>
                <w:rFonts w:ascii="Calibri" w:hAnsi="Calibri" w:cs="Calibri"/>
                <w:b/>
                <w:color w:val="4F81BD"/>
                <w:sz w:val="24"/>
                <w:szCs w:val="24"/>
              </w:rPr>
              <w:t>Contribution to the Board’s Purpose and Objectives</w:t>
            </w:r>
          </w:p>
        </w:tc>
      </w:tr>
      <w:tr w:rsidR="00596E1B" w:rsidRPr="00F33A7F" w14:paraId="6CAAF10F" w14:textId="77777777" w:rsidTr="0008581F">
        <w:tc>
          <w:tcPr>
            <w:tcW w:w="533" w:type="dxa"/>
            <w:vMerge/>
            <w:shd w:val="clear" w:color="auto" w:fill="auto"/>
          </w:tcPr>
          <w:p w14:paraId="47E6F925" w14:textId="77777777" w:rsidR="00596E1B" w:rsidRPr="00F33A7F" w:rsidRDefault="00596E1B" w:rsidP="00AC4BA1">
            <w:pPr>
              <w:spacing w:before="40"/>
              <w:jc w:val="both"/>
              <w:rPr>
                <w:rFonts w:ascii="Helvetica 65 Medium" w:hAnsi="Helvetica 65 Medium"/>
                <w:sz w:val="24"/>
                <w:szCs w:val="24"/>
              </w:rPr>
            </w:pPr>
          </w:p>
        </w:tc>
        <w:tc>
          <w:tcPr>
            <w:tcW w:w="9105" w:type="dxa"/>
            <w:gridSpan w:val="3"/>
            <w:shd w:val="clear" w:color="auto" w:fill="auto"/>
          </w:tcPr>
          <w:p w14:paraId="02F0D869" w14:textId="77777777" w:rsidR="000F28C6" w:rsidRPr="00F33A7F" w:rsidRDefault="00596E1B" w:rsidP="00AC4BA1">
            <w:pPr>
              <w:spacing w:before="40" w:after="40"/>
              <w:jc w:val="both"/>
              <w:rPr>
                <w:rFonts w:ascii="Calibri" w:hAnsi="Calibri" w:cs="Calibri"/>
                <w:sz w:val="24"/>
                <w:szCs w:val="24"/>
              </w:rPr>
            </w:pPr>
            <w:r>
              <w:rPr>
                <w:rFonts w:ascii="Calibri" w:hAnsi="Calibri" w:cs="Calibri"/>
                <w:sz w:val="24"/>
                <w:szCs w:val="24"/>
              </w:rPr>
              <w:t>In delivering the Act, ARB’s objectives are:</w:t>
            </w:r>
          </w:p>
        </w:tc>
      </w:tr>
      <w:tr w:rsidR="00596E1B" w:rsidRPr="00F33A7F" w14:paraId="7989CB7E" w14:textId="77777777" w:rsidTr="0008581F">
        <w:tc>
          <w:tcPr>
            <w:tcW w:w="533" w:type="dxa"/>
            <w:vMerge/>
            <w:shd w:val="clear" w:color="auto" w:fill="auto"/>
          </w:tcPr>
          <w:p w14:paraId="74EEC023" w14:textId="77777777" w:rsidR="00596E1B" w:rsidRPr="00F33A7F" w:rsidRDefault="00596E1B" w:rsidP="00AC4BA1">
            <w:pPr>
              <w:spacing w:before="40"/>
              <w:jc w:val="both"/>
              <w:rPr>
                <w:rFonts w:ascii="Helvetica 65 Medium" w:hAnsi="Helvetica 65 Medium"/>
                <w:sz w:val="24"/>
                <w:szCs w:val="24"/>
              </w:rPr>
            </w:pPr>
          </w:p>
        </w:tc>
        <w:tc>
          <w:tcPr>
            <w:tcW w:w="9105" w:type="dxa"/>
            <w:gridSpan w:val="3"/>
            <w:shd w:val="clear" w:color="auto" w:fill="auto"/>
          </w:tcPr>
          <w:p w14:paraId="064E0105" w14:textId="3CADCBC8" w:rsidR="00612FDC" w:rsidRDefault="00596E1B" w:rsidP="00764075">
            <w:pPr>
              <w:tabs>
                <w:tab w:val="left" w:pos="0"/>
              </w:tabs>
              <w:autoSpaceDE w:val="0"/>
              <w:autoSpaceDN w:val="0"/>
              <w:jc w:val="both"/>
              <w:rPr>
                <w:rFonts w:ascii="Calibri" w:hAnsi="Calibri" w:cs="Calibri"/>
                <w:sz w:val="24"/>
                <w:szCs w:val="24"/>
              </w:rPr>
            </w:pPr>
            <w:r w:rsidRPr="001F35E0">
              <w:rPr>
                <w:rFonts w:ascii="Calibri" w:hAnsi="Calibri" w:cs="Calibri"/>
                <w:sz w:val="24"/>
                <w:szCs w:val="24"/>
                <w:u w:val="single"/>
              </w:rPr>
              <w:t>Protect the users and potential users of architects’ services</w:t>
            </w:r>
            <w:r>
              <w:rPr>
                <w:rFonts w:ascii="Calibri" w:hAnsi="Calibri" w:cs="Calibri"/>
                <w:sz w:val="24"/>
                <w:szCs w:val="24"/>
              </w:rPr>
              <w:t xml:space="preserve"> </w:t>
            </w:r>
            <w:r w:rsidR="000F28C6">
              <w:rPr>
                <w:rFonts w:ascii="Calibri" w:hAnsi="Calibri" w:cs="Calibri"/>
                <w:sz w:val="24"/>
                <w:szCs w:val="24"/>
              </w:rPr>
              <w:t xml:space="preserve">by ensuring that </w:t>
            </w:r>
            <w:r w:rsidR="00941C2F">
              <w:rPr>
                <w:rFonts w:ascii="Calibri" w:hAnsi="Calibri" w:cs="Calibri"/>
                <w:sz w:val="24"/>
                <w:szCs w:val="24"/>
              </w:rPr>
              <w:t xml:space="preserve">future </w:t>
            </w:r>
            <w:r w:rsidR="00523CEA">
              <w:rPr>
                <w:rFonts w:ascii="Calibri" w:hAnsi="Calibri" w:cs="Calibri"/>
                <w:sz w:val="24"/>
                <w:szCs w:val="24"/>
              </w:rPr>
              <w:t xml:space="preserve">architects are competent to </w:t>
            </w:r>
            <w:r w:rsidR="00764075">
              <w:rPr>
                <w:rFonts w:ascii="Calibri" w:hAnsi="Calibri" w:cs="Calibri"/>
                <w:sz w:val="24"/>
                <w:szCs w:val="24"/>
              </w:rPr>
              <w:t>practice in a way that mitigates environmental impact</w:t>
            </w:r>
            <w:r w:rsidR="00612FDC">
              <w:rPr>
                <w:rFonts w:ascii="Calibri" w:hAnsi="Calibri" w:cs="Calibri"/>
                <w:sz w:val="24"/>
                <w:szCs w:val="24"/>
              </w:rPr>
              <w:t xml:space="preserve"> and supports the safety of buildings and their occupants</w:t>
            </w:r>
          </w:p>
        </w:tc>
      </w:tr>
      <w:tr w:rsidR="00596E1B" w:rsidRPr="00F33A7F" w14:paraId="21EAC4D5" w14:textId="77777777" w:rsidTr="0008019B">
        <w:tc>
          <w:tcPr>
            <w:tcW w:w="533" w:type="dxa"/>
            <w:vMerge/>
            <w:shd w:val="clear" w:color="auto" w:fill="auto"/>
          </w:tcPr>
          <w:p w14:paraId="3650A732" w14:textId="77777777" w:rsidR="00596E1B" w:rsidRPr="00F33A7F" w:rsidRDefault="00596E1B" w:rsidP="00AC4BA1">
            <w:pPr>
              <w:spacing w:before="40"/>
              <w:jc w:val="both"/>
              <w:rPr>
                <w:rFonts w:ascii="Helvetica 65 Medium" w:hAnsi="Helvetica 65 Medium"/>
                <w:sz w:val="24"/>
                <w:szCs w:val="24"/>
              </w:rPr>
            </w:pPr>
          </w:p>
        </w:tc>
        <w:tc>
          <w:tcPr>
            <w:tcW w:w="9105" w:type="dxa"/>
            <w:gridSpan w:val="3"/>
            <w:shd w:val="clear" w:color="auto" w:fill="auto"/>
          </w:tcPr>
          <w:p w14:paraId="4F2AFDE8" w14:textId="0C032AA5" w:rsidR="00FA33A1" w:rsidRDefault="00596E1B" w:rsidP="00AC4BA1">
            <w:pPr>
              <w:spacing w:before="40" w:after="40"/>
              <w:jc w:val="both"/>
              <w:rPr>
                <w:rFonts w:ascii="Calibri" w:hAnsi="Calibri" w:cs="Calibri"/>
                <w:sz w:val="24"/>
                <w:szCs w:val="24"/>
              </w:rPr>
            </w:pPr>
            <w:r w:rsidRPr="001F35E0">
              <w:rPr>
                <w:rFonts w:ascii="Calibri" w:hAnsi="Calibri" w:cs="Calibri"/>
                <w:sz w:val="24"/>
                <w:szCs w:val="24"/>
                <w:u w:val="single"/>
              </w:rPr>
              <w:t>Support architects through regulation</w:t>
            </w:r>
            <w:r w:rsidR="000F28C6">
              <w:rPr>
                <w:rFonts w:ascii="Calibri" w:hAnsi="Calibri" w:cs="Calibri"/>
                <w:sz w:val="24"/>
                <w:szCs w:val="24"/>
              </w:rPr>
              <w:t xml:space="preserve"> by </w:t>
            </w:r>
            <w:r w:rsidR="00523CEA">
              <w:rPr>
                <w:rFonts w:ascii="Calibri" w:hAnsi="Calibri" w:cs="Calibri"/>
                <w:sz w:val="24"/>
                <w:szCs w:val="24"/>
              </w:rPr>
              <w:t xml:space="preserve">ensuring that </w:t>
            </w:r>
            <w:r w:rsidR="00941C2F">
              <w:rPr>
                <w:rFonts w:ascii="Calibri" w:hAnsi="Calibri" w:cs="Calibri"/>
                <w:sz w:val="24"/>
                <w:szCs w:val="24"/>
              </w:rPr>
              <w:t xml:space="preserve">future </w:t>
            </w:r>
            <w:r w:rsidR="00523CEA">
              <w:rPr>
                <w:rFonts w:ascii="Calibri" w:hAnsi="Calibri" w:cs="Calibri"/>
                <w:sz w:val="24"/>
                <w:szCs w:val="24"/>
              </w:rPr>
              <w:t xml:space="preserve">architects have the competencies </w:t>
            </w:r>
            <w:r w:rsidR="00941C2F">
              <w:rPr>
                <w:rFonts w:ascii="Calibri" w:hAnsi="Calibri" w:cs="Calibri"/>
                <w:sz w:val="24"/>
                <w:szCs w:val="24"/>
              </w:rPr>
              <w:t xml:space="preserve">on point of registration </w:t>
            </w:r>
            <w:r w:rsidR="00523CEA">
              <w:rPr>
                <w:rFonts w:ascii="Calibri" w:hAnsi="Calibri" w:cs="Calibri"/>
                <w:sz w:val="24"/>
                <w:szCs w:val="24"/>
              </w:rPr>
              <w:t xml:space="preserve">to </w:t>
            </w:r>
            <w:r w:rsidR="005B04D9">
              <w:rPr>
                <w:rFonts w:ascii="Calibri" w:hAnsi="Calibri" w:cs="Calibri"/>
                <w:sz w:val="24"/>
                <w:szCs w:val="24"/>
              </w:rPr>
              <w:t xml:space="preserve">meet the expectations of clients and contribute to a safe, sustainable built </w:t>
            </w:r>
            <w:proofErr w:type="gramStart"/>
            <w:r w:rsidR="005B04D9">
              <w:rPr>
                <w:rFonts w:ascii="Calibri" w:hAnsi="Calibri" w:cs="Calibri"/>
                <w:sz w:val="24"/>
                <w:szCs w:val="24"/>
              </w:rPr>
              <w:t>environment</w:t>
            </w:r>
            <w:proofErr w:type="gramEnd"/>
          </w:p>
          <w:p w14:paraId="2EC8AD53" w14:textId="77777777" w:rsidR="005A354B" w:rsidRDefault="005A354B" w:rsidP="00AC4BA1">
            <w:pPr>
              <w:spacing w:before="40" w:after="40"/>
              <w:jc w:val="both"/>
              <w:rPr>
                <w:rFonts w:ascii="Calibri" w:hAnsi="Calibri" w:cs="Calibri"/>
                <w:sz w:val="24"/>
                <w:szCs w:val="24"/>
              </w:rPr>
            </w:pPr>
          </w:p>
          <w:p w14:paraId="37DC8518" w14:textId="77777777" w:rsidR="00D9050B" w:rsidRDefault="00D9050B" w:rsidP="00AC4BA1">
            <w:pPr>
              <w:spacing w:before="40" w:after="40"/>
              <w:jc w:val="both"/>
              <w:rPr>
                <w:rFonts w:ascii="Calibri" w:hAnsi="Calibri" w:cs="Calibri"/>
                <w:sz w:val="24"/>
                <w:szCs w:val="24"/>
              </w:rPr>
            </w:pPr>
          </w:p>
        </w:tc>
      </w:tr>
      <w:tr w:rsidR="00A55890" w:rsidRPr="00F33A7F" w14:paraId="57BACCB7" w14:textId="77777777" w:rsidTr="0008019B">
        <w:tc>
          <w:tcPr>
            <w:tcW w:w="533" w:type="dxa"/>
            <w:vMerge w:val="restart"/>
            <w:shd w:val="clear" w:color="auto" w:fill="auto"/>
          </w:tcPr>
          <w:p w14:paraId="468DF46C" w14:textId="32236704" w:rsidR="00A55890" w:rsidRPr="00F63BDD" w:rsidRDefault="00EF22B0" w:rsidP="00AC4BA1">
            <w:pPr>
              <w:spacing w:before="40"/>
              <w:jc w:val="both"/>
              <w:rPr>
                <w:rFonts w:ascii="Calibri" w:hAnsi="Calibri" w:cs="Calibri"/>
                <w:b/>
                <w:color w:val="4F81BD"/>
                <w:sz w:val="24"/>
                <w:szCs w:val="24"/>
              </w:rPr>
            </w:pPr>
            <w:r>
              <w:rPr>
                <w:rFonts w:ascii="Calibri" w:hAnsi="Calibri" w:cs="Calibri"/>
                <w:b/>
                <w:color w:val="4F81BD"/>
                <w:sz w:val="24"/>
                <w:szCs w:val="24"/>
              </w:rPr>
              <w:t>5</w:t>
            </w:r>
            <w:r w:rsidR="00A55890" w:rsidRPr="00F63BDD">
              <w:rPr>
                <w:rFonts w:ascii="Calibri" w:hAnsi="Calibri" w:cs="Calibri"/>
                <w:b/>
                <w:color w:val="4F81BD"/>
                <w:sz w:val="24"/>
                <w:szCs w:val="24"/>
              </w:rPr>
              <w:t xml:space="preserve">. </w:t>
            </w:r>
          </w:p>
        </w:tc>
        <w:tc>
          <w:tcPr>
            <w:tcW w:w="9105" w:type="dxa"/>
            <w:gridSpan w:val="3"/>
            <w:shd w:val="clear" w:color="auto" w:fill="auto"/>
          </w:tcPr>
          <w:p w14:paraId="60949CA9" w14:textId="77777777" w:rsidR="001325D4" w:rsidRDefault="00A55890" w:rsidP="00ED2B27">
            <w:pPr>
              <w:spacing w:before="40" w:after="40"/>
              <w:jc w:val="both"/>
              <w:rPr>
                <w:rFonts w:ascii="Calibri" w:hAnsi="Calibri" w:cs="Calibri"/>
                <w:b/>
                <w:sz w:val="24"/>
                <w:szCs w:val="24"/>
              </w:rPr>
            </w:pPr>
            <w:r w:rsidRPr="00F63BDD">
              <w:rPr>
                <w:rFonts w:ascii="Calibri" w:hAnsi="Calibri" w:cs="Calibri"/>
                <w:b/>
                <w:color w:val="4F81BD"/>
                <w:sz w:val="24"/>
                <w:szCs w:val="24"/>
              </w:rPr>
              <w:t>Key Points</w:t>
            </w:r>
            <w:r>
              <w:rPr>
                <w:rFonts w:ascii="Calibri" w:hAnsi="Calibri" w:cs="Calibri"/>
                <w:b/>
                <w:sz w:val="24"/>
                <w:szCs w:val="24"/>
              </w:rPr>
              <w:t xml:space="preserve"> </w:t>
            </w:r>
          </w:p>
          <w:p w14:paraId="037918D8" w14:textId="36E74025" w:rsidR="006061C8" w:rsidRPr="00D9050B" w:rsidRDefault="006061C8" w:rsidP="00ED2B27">
            <w:pPr>
              <w:spacing w:before="40" w:after="40"/>
              <w:jc w:val="both"/>
              <w:rPr>
                <w:rFonts w:ascii="Calibri" w:hAnsi="Calibri" w:cs="Calibri"/>
                <w:b/>
                <w:sz w:val="24"/>
                <w:szCs w:val="24"/>
              </w:rPr>
            </w:pPr>
          </w:p>
        </w:tc>
      </w:tr>
      <w:tr w:rsidR="00A55890" w:rsidRPr="00F33A7F" w14:paraId="7C25907B" w14:textId="77777777" w:rsidTr="0008019B">
        <w:tc>
          <w:tcPr>
            <w:tcW w:w="533" w:type="dxa"/>
            <w:vMerge/>
            <w:shd w:val="clear" w:color="auto" w:fill="auto"/>
          </w:tcPr>
          <w:p w14:paraId="344C75CD" w14:textId="77777777" w:rsidR="00A55890" w:rsidRPr="00F33A7F" w:rsidRDefault="00A55890" w:rsidP="00AC4BA1">
            <w:pPr>
              <w:spacing w:before="40"/>
              <w:jc w:val="both"/>
              <w:rPr>
                <w:rFonts w:ascii="Helvetica 65 Medium" w:hAnsi="Helvetica 65 Medium"/>
                <w:sz w:val="24"/>
                <w:szCs w:val="24"/>
              </w:rPr>
            </w:pPr>
          </w:p>
        </w:tc>
        <w:tc>
          <w:tcPr>
            <w:tcW w:w="872" w:type="dxa"/>
            <w:gridSpan w:val="2"/>
            <w:shd w:val="clear" w:color="auto" w:fill="auto"/>
          </w:tcPr>
          <w:p w14:paraId="745013D5" w14:textId="77777777" w:rsidR="00A55890" w:rsidRPr="00F33A7F" w:rsidRDefault="00A55890" w:rsidP="00AC4BA1">
            <w:pPr>
              <w:numPr>
                <w:ilvl w:val="0"/>
                <w:numId w:val="3"/>
              </w:numPr>
              <w:spacing w:before="40" w:after="40"/>
              <w:jc w:val="both"/>
              <w:rPr>
                <w:rFonts w:ascii="Calibri" w:hAnsi="Calibri" w:cs="Calibri"/>
                <w:b/>
                <w:sz w:val="24"/>
                <w:szCs w:val="24"/>
              </w:rPr>
            </w:pPr>
          </w:p>
        </w:tc>
        <w:tc>
          <w:tcPr>
            <w:tcW w:w="8233" w:type="dxa"/>
            <w:shd w:val="clear" w:color="auto" w:fill="auto"/>
          </w:tcPr>
          <w:p w14:paraId="2CADF972" w14:textId="5638487C" w:rsidR="001325D4" w:rsidRDefault="009512C1" w:rsidP="009512C1">
            <w:pPr>
              <w:spacing w:before="40" w:after="40"/>
              <w:rPr>
                <w:rFonts w:ascii="Calibri" w:hAnsi="Calibri" w:cs="Calibri"/>
                <w:sz w:val="24"/>
                <w:szCs w:val="24"/>
              </w:rPr>
            </w:pPr>
            <w:r>
              <w:rPr>
                <w:rFonts w:ascii="Calibri" w:hAnsi="Calibri" w:cs="Calibri"/>
                <w:sz w:val="24"/>
                <w:szCs w:val="24"/>
              </w:rPr>
              <w:t xml:space="preserve">In 2020 ARB identified two areas of critical importance to architects that required a regulatory intervention: the impact of climate change on the </w:t>
            </w:r>
            <w:proofErr w:type="gramStart"/>
            <w:r>
              <w:rPr>
                <w:rFonts w:ascii="Calibri" w:hAnsi="Calibri" w:cs="Calibri"/>
                <w:sz w:val="24"/>
                <w:szCs w:val="24"/>
              </w:rPr>
              <w:t>environment, and</w:t>
            </w:r>
            <w:proofErr w:type="gramEnd"/>
            <w:r>
              <w:rPr>
                <w:rFonts w:ascii="Calibri" w:hAnsi="Calibri" w:cs="Calibri"/>
                <w:sz w:val="24"/>
                <w:szCs w:val="24"/>
              </w:rPr>
              <w:t xml:space="preserve"> building design</w:t>
            </w:r>
            <w:r w:rsidR="00B56D8E">
              <w:rPr>
                <w:rFonts w:ascii="Calibri" w:hAnsi="Calibri" w:cs="Calibri"/>
                <w:sz w:val="24"/>
                <w:szCs w:val="24"/>
              </w:rPr>
              <w:t xml:space="preserve"> in relation to fire and life safety.</w:t>
            </w:r>
            <w:r>
              <w:rPr>
                <w:rFonts w:ascii="Calibri" w:hAnsi="Calibri" w:cs="Calibri"/>
                <w:sz w:val="24"/>
                <w:szCs w:val="24"/>
              </w:rPr>
              <w:t xml:space="preserve"> </w:t>
            </w:r>
          </w:p>
          <w:p w14:paraId="6CDD2D73" w14:textId="33C877F0" w:rsidR="009512C1" w:rsidRPr="00F33A7F" w:rsidRDefault="009512C1" w:rsidP="009512C1">
            <w:pPr>
              <w:spacing w:before="40" w:after="40"/>
              <w:rPr>
                <w:rFonts w:ascii="Calibri" w:hAnsi="Calibri" w:cs="Calibri"/>
                <w:sz w:val="24"/>
                <w:szCs w:val="24"/>
              </w:rPr>
            </w:pPr>
          </w:p>
        </w:tc>
      </w:tr>
      <w:tr w:rsidR="001325D4" w:rsidRPr="00F33A7F" w14:paraId="751EAE8F" w14:textId="77777777" w:rsidTr="0008019B">
        <w:tc>
          <w:tcPr>
            <w:tcW w:w="533" w:type="dxa"/>
            <w:vMerge/>
            <w:shd w:val="clear" w:color="auto" w:fill="auto"/>
          </w:tcPr>
          <w:p w14:paraId="4824BAB1" w14:textId="77777777" w:rsidR="001325D4" w:rsidRPr="00F33A7F" w:rsidRDefault="001325D4" w:rsidP="00AC4BA1">
            <w:pPr>
              <w:spacing w:before="40"/>
              <w:jc w:val="both"/>
              <w:rPr>
                <w:rFonts w:ascii="Helvetica 65 Medium" w:hAnsi="Helvetica 65 Medium"/>
                <w:sz w:val="24"/>
                <w:szCs w:val="24"/>
              </w:rPr>
            </w:pPr>
          </w:p>
        </w:tc>
        <w:tc>
          <w:tcPr>
            <w:tcW w:w="872" w:type="dxa"/>
            <w:gridSpan w:val="2"/>
            <w:shd w:val="clear" w:color="auto" w:fill="auto"/>
          </w:tcPr>
          <w:p w14:paraId="441AE374" w14:textId="77777777" w:rsidR="001325D4" w:rsidRPr="00F33A7F" w:rsidRDefault="001325D4" w:rsidP="00AC4BA1">
            <w:pPr>
              <w:numPr>
                <w:ilvl w:val="0"/>
                <w:numId w:val="3"/>
              </w:numPr>
              <w:spacing w:before="40" w:after="40"/>
              <w:jc w:val="both"/>
              <w:rPr>
                <w:rFonts w:ascii="Calibri" w:hAnsi="Calibri" w:cs="Calibri"/>
                <w:b/>
                <w:sz w:val="24"/>
                <w:szCs w:val="24"/>
              </w:rPr>
            </w:pPr>
          </w:p>
        </w:tc>
        <w:tc>
          <w:tcPr>
            <w:tcW w:w="8233" w:type="dxa"/>
            <w:shd w:val="clear" w:color="auto" w:fill="auto"/>
          </w:tcPr>
          <w:p w14:paraId="5694BA19" w14:textId="4114C2CC" w:rsidR="001325D4" w:rsidRPr="0049372E" w:rsidRDefault="009512C1" w:rsidP="001325D4">
            <w:pPr>
              <w:spacing w:before="40" w:after="40"/>
              <w:rPr>
                <w:rFonts w:ascii="Calibri" w:hAnsi="Calibri" w:cs="Calibri"/>
                <w:sz w:val="24"/>
                <w:szCs w:val="24"/>
              </w:rPr>
            </w:pPr>
            <w:r>
              <w:rPr>
                <w:rFonts w:ascii="Calibri" w:hAnsi="Calibri" w:cs="Calibri"/>
                <w:sz w:val="24"/>
                <w:szCs w:val="24"/>
              </w:rPr>
              <w:t>T</w:t>
            </w:r>
            <w:r w:rsidR="001325D4">
              <w:rPr>
                <w:rFonts w:ascii="Calibri" w:hAnsi="Calibri" w:cs="Calibri"/>
                <w:sz w:val="24"/>
                <w:szCs w:val="24"/>
              </w:rPr>
              <w:t xml:space="preserve">he Board </w:t>
            </w:r>
            <w:r>
              <w:rPr>
                <w:rFonts w:ascii="Calibri" w:hAnsi="Calibri" w:cs="Calibri"/>
                <w:sz w:val="24"/>
                <w:szCs w:val="24"/>
              </w:rPr>
              <w:t xml:space="preserve">published two </w:t>
            </w:r>
            <w:r w:rsidR="001325D4">
              <w:rPr>
                <w:rFonts w:ascii="Calibri" w:hAnsi="Calibri" w:cs="Calibri"/>
                <w:sz w:val="24"/>
                <w:szCs w:val="24"/>
              </w:rPr>
              <w:t>strategic statement</w:t>
            </w:r>
            <w:r>
              <w:rPr>
                <w:rFonts w:ascii="Calibri" w:hAnsi="Calibri" w:cs="Calibri"/>
                <w:sz w:val="24"/>
                <w:szCs w:val="24"/>
              </w:rPr>
              <w:t xml:space="preserve">s in respect of these issues. </w:t>
            </w:r>
            <w:r w:rsidR="001325D4">
              <w:rPr>
                <w:rFonts w:ascii="Calibri" w:hAnsi="Calibri" w:cs="Calibri"/>
                <w:sz w:val="24"/>
                <w:szCs w:val="24"/>
              </w:rPr>
              <w:t xml:space="preserve"> </w:t>
            </w:r>
            <w:r>
              <w:rPr>
                <w:rFonts w:ascii="Calibri" w:hAnsi="Calibri" w:cs="Calibri"/>
                <w:sz w:val="24"/>
                <w:szCs w:val="24"/>
              </w:rPr>
              <w:t xml:space="preserve">The </w:t>
            </w:r>
            <w:r w:rsidR="001325D4">
              <w:rPr>
                <w:rFonts w:ascii="Calibri" w:hAnsi="Calibri" w:cs="Calibri"/>
                <w:sz w:val="24"/>
                <w:szCs w:val="24"/>
              </w:rPr>
              <w:t>statement</w:t>
            </w:r>
            <w:r>
              <w:rPr>
                <w:rFonts w:ascii="Calibri" w:hAnsi="Calibri" w:cs="Calibri"/>
                <w:sz w:val="24"/>
                <w:szCs w:val="24"/>
              </w:rPr>
              <w:t>s</w:t>
            </w:r>
            <w:r w:rsidR="001325D4">
              <w:rPr>
                <w:rFonts w:ascii="Calibri" w:hAnsi="Calibri" w:cs="Calibri"/>
                <w:sz w:val="24"/>
                <w:szCs w:val="24"/>
              </w:rPr>
              <w:t xml:space="preserve"> set out how ARB would be reviewing the competence requirements for architects and future </w:t>
            </w:r>
            <w:proofErr w:type="gramStart"/>
            <w:r w:rsidR="001325D4">
              <w:rPr>
                <w:rFonts w:ascii="Calibri" w:hAnsi="Calibri" w:cs="Calibri"/>
                <w:sz w:val="24"/>
                <w:szCs w:val="24"/>
              </w:rPr>
              <w:t>architects, but</w:t>
            </w:r>
            <w:proofErr w:type="gramEnd"/>
            <w:r w:rsidR="001325D4">
              <w:rPr>
                <w:rFonts w:ascii="Calibri" w:hAnsi="Calibri" w:cs="Calibri"/>
                <w:sz w:val="24"/>
                <w:szCs w:val="24"/>
              </w:rPr>
              <w:t xml:space="preserve"> acknowledged that such a comprehensive review would </w:t>
            </w:r>
            <w:r w:rsidR="00B53473">
              <w:rPr>
                <w:rFonts w:ascii="Calibri" w:hAnsi="Calibri" w:cs="Calibri"/>
                <w:sz w:val="24"/>
                <w:szCs w:val="24"/>
              </w:rPr>
              <w:t xml:space="preserve">- </w:t>
            </w:r>
            <w:r w:rsidR="001325D4">
              <w:rPr>
                <w:rFonts w:ascii="Calibri" w:hAnsi="Calibri" w:cs="Calibri"/>
                <w:sz w:val="24"/>
                <w:szCs w:val="24"/>
              </w:rPr>
              <w:t xml:space="preserve">quite properly </w:t>
            </w:r>
            <w:r w:rsidR="00B53473">
              <w:rPr>
                <w:rFonts w:ascii="Calibri" w:hAnsi="Calibri" w:cs="Calibri"/>
                <w:sz w:val="24"/>
                <w:szCs w:val="24"/>
              </w:rPr>
              <w:t xml:space="preserve">- </w:t>
            </w:r>
            <w:r w:rsidR="001325D4">
              <w:rPr>
                <w:rFonts w:ascii="Calibri" w:hAnsi="Calibri" w:cs="Calibri"/>
                <w:sz w:val="24"/>
                <w:szCs w:val="24"/>
              </w:rPr>
              <w:t>take some significant time. The Board resolved that it would, in the meantime, issue guidelines to the profession on th</w:t>
            </w:r>
            <w:r>
              <w:rPr>
                <w:rFonts w:ascii="Calibri" w:hAnsi="Calibri" w:cs="Calibri"/>
                <w:sz w:val="24"/>
                <w:szCs w:val="24"/>
              </w:rPr>
              <w:t>ese</w:t>
            </w:r>
            <w:r w:rsidR="001325D4">
              <w:rPr>
                <w:rFonts w:ascii="Calibri" w:hAnsi="Calibri" w:cs="Calibri"/>
                <w:sz w:val="24"/>
                <w:szCs w:val="24"/>
              </w:rPr>
              <w:t xml:space="preserve"> area</w:t>
            </w:r>
            <w:r>
              <w:rPr>
                <w:rFonts w:ascii="Calibri" w:hAnsi="Calibri" w:cs="Calibri"/>
                <w:sz w:val="24"/>
                <w:szCs w:val="24"/>
              </w:rPr>
              <w:t>s</w:t>
            </w:r>
            <w:r w:rsidR="001325D4">
              <w:rPr>
                <w:rFonts w:ascii="Calibri" w:hAnsi="Calibri" w:cs="Calibri"/>
                <w:sz w:val="24"/>
                <w:szCs w:val="24"/>
              </w:rPr>
              <w:t xml:space="preserve"> of </w:t>
            </w:r>
            <w:r>
              <w:rPr>
                <w:rFonts w:ascii="Calibri" w:hAnsi="Calibri" w:cs="Calibri"/>
                <w:sz w:val="24"/>
                <w:szCs w:val="24"/>
              </w:rPr>
              <w:t xml:space="preserve">architectural </w:t>
            </w:r>
            <w:proofErr w:type="gramStart"/>
            <w:r w:rsidR="001325D4">
              <w:rPr>
                <w:rFonts w:ascii="Calibri" w:hAnsi="Calibri" w:cs="Calibri"/>
                <w:sz w:val="24"/>
                <w:szCs w:val="24"/>
              </w:rPr>
              <w:t>practice, and</w:t>
            </w:r>
            <w:proofErr w:type="gramEnd"/>
            <w:r w:rsidR="001325D4">
              <w:rPr>
                <w:rFonts w:ascii="Calibri" w:hAnsi="Calibri" w:cs="Calibri"/>
                <w:sz w:val="24"/>
                <w:szCs w:val="24"/>
              </w:rPr>
              <w:t xml:space="preserve"> provide guidance to institutions as to how the Criteria at Parts 1, 2 and 3 will be interpreted for the prescription of qualifications.  </w:t>
            </w:r>
          </w:p>
          <w:p w14:paraId="22B42C92" w14:textId="77777777" w:rsidR="001325D4" w:rsidRDefault="001325D4" w:rsidP="00A87549">
            <w:pPr>
              <w:spacing w:before="40" w:after="40"/>
              <w:rPr>
                <w:rFonts w:ascii="Calibri" w:hAnsi="Calibri" w:cs="Calibri"/>
                <w:sz w:val="24"/>
                <w:szCs w:val="24"/>
              </w:rPr>
            </w:pPr>
          </w:p>
        </w:tc>
      </w:tr>
      <w:tr w:rsidR="00A55890" w:rsidRPr="00F33A7F" w14:paraId="66018CB5" w14:textId="77777777" w:rsidTr="0008019B">
        <w:tc>
          <w:tcPr>
            <w:tcW w:w="533" w:type="dxa"/>
            <w:vMerge/>
            <w:shd w:val="clear" w:color="auto" w:fill="auto"/>
          </w:tcPr>
          <w:p w14:paraId="351B95C4" w14:textId="77777777" w:rsidR="00A55890" w:rsidRPr="00F33A7F" w:rsidRDefault="00A55890" w:rsidP="00AC4BA1">
            <w:pPr>
              <w:spacing w:before="40"/>
              <w:jc w:val="both"/>
              <w:rPr>
                <w:rFonts w:ascii="Helvetica 65 Medium" w:hAnsi="Helvetica 65 Medium"/>
                <w:sz w:val="24"/>
                <w:szCs w:val="24"/>
              </w:rPr>
            </w:pPr>
          </w:p>
        </w:tc>
        <w:tc>
          <w:tcPr>
            <w:tcW w:w="872" w:type="dxa"/>
            <w:gridSpan w:val="2"/>
            <w:shd w:val="clear" w:color="auto" w:fill="auto"/>
          </w:tcPr>
          <w:p w14:paraId="7E4D56BE" w14:textId="77777777" w:rsidR="00A55890" w:rsidRPr="00F33A7F" w:rsidRDefault="00A55890" w:rsidP="00AC4BA1">
            <w:pPr>
              <w:numPr>
                <w:ilvl w:val="0"/>
                <w:numId w:val="3"/>
              </w:numPr>
              <w:spacing w:before="40" w:after="40"/>
              <w:jc w:val="both"/>
              <w:rPr>
                <w:rFonts w:ascii="Calibri" w:hAnsi="Calibri" w:cs="Calibri"/>
                <w:b/>
                <w:sz w:val="24"/>
                <w:szCs w:val="24"/>
              </w:rPr>
            </w:pPr>
          </w:p>
        </w:tc>
        <w:tc>
          <w:tcPr>
            <w:tcW w:w="8233" w:type="dxa"/>
            <w:shd w:val="clear" w:color="auto" w:fill="auto"/>
          </w:tcPr>
          <w:p w14:paraId="7805AF5B" w14:textId="0F2EA5ED" w:rsidR="00A87549" w:rsidRDefault="006374FB" w:rsidP="00A87549">
            <w:pPr>
              <w:spacing w:before="40" w:after="40"/>
              <w:rPr>
                <w:rFonts w:ascii="Calibri" w:hAnsi="Calibri" w:cs="Calibri"/>
                <w:sz w:val="24"/>
                <w:szCs w:val="24"/>
              </w:rPr>
            </w:pPr>
            <w:r>
              <w:rPr>
                <w:rFonts w:ascii="Calibri" w:hAnsi="Calibri" w:cs="Calibri"/>
                <w:sz w:val="24"/>
                <w:szCs w:val="24"/>
              </w:rPr>
              <w:t xml:space="preserve">A draft of </w:t>
            </w:r>
            <w:r w:rsidR="005225F7">
              <w:rPr>
                <w:rFonts w:ascii="Calibri" w:hAnsi="Calibri" w:cs="Calibri"/>
                <w:sz w:val="24"/>
                <w:szCs w:val="24"/>
              </w:rPr>
              <w:t xml:space="preserve">the </w:t>
            </w:r>
            <w:r w:rsidR="000D0812">
              <w:rPr>
                <w:rFonts w:ascii="Calibri" w:hAnsi="Calibri" w:cs="Calibri"/>
                <w:sz w:val="24"/>
                <w:szCs w:val="24"/>
              </w:rPr>
              <w:t>G</w:t>
            </w:r>
            <w:r>
              <w:rPr>
                <w:rFonts w:ascii="Calibri" w:hAnsi="Calibri" w:cs="Calibri"/>
                <w:sz w:val="24"/>
                <w:szCs w:val="24"/>
              </w:rPr>
              <w:t xml:space="preserve">uidance </w:t>
            </w:r>
            <w:r w:rsidR="005225F7">
              <w:rPr>
                <w:rFonts w:ascii="Calibri" w:hAnsi="Calibri" w:cs="Calibri"/>
                <w:sz w:val="24"/>
                <w:szCs w:val="24"/>
              </w:rPr>
              <w:t xml:space="preserve">for institutions </w:t>
            </w:r>
            <w:r w:rsidR="009512C1">
              <w:rPr>
                <w:rFonts w:ascii="Calibri" w:hAnsi="Calibri" w:cs="Calibri"/>
                <w:sz w:val="24"/>
                <w:szCs w:val="24"/>
              </w:rPr>
              <w:t>was issued for consultation by the Board at its December 2020 meeting.</w:t>
            </w:r>
            <w:r>
              <w:rPr>
                <w:rFonts w:ascii="Calibri" w:hAnsi="Calibri" w:cs="Calibri"/>
                <w:sz w:val="24"/>
                <w:szCs w:val="24"/>
              </w:rPr>
              <w:t xml:space="preserve"> </w:t>
            </w:r>
            <w:r w:rsidR="00A87549">
              <w:rPr>
                <w:rFonts w:ascii="Calibri" w:hAnsi="Calibri" w:cs="Calibri"/>
                <w:sz w:val="24"/>
                <w:szCs w:val="24"/>
              </w:rPr>
              <w:t xml:space="preserve">It is important to note that the </w:t>
            </w:r>
            <w:r w:rsidR="000D0812">
              <w:rPr>
                <w:rFonts w:ascii="Calibri" w:hAnsi="Calibri" w:cs="Calibri"/>
                <w:sz w:val="24"/>
                <w:szCs w:val="24"/>
              </w:rPr>
              <w:t>G</w:t>
            </w:r>
            <w:r w:rsidR="00A87549">
              <w:rPr>
                <w:rFonts w:ascii="Calibri" w:hAnsi="Calibri" w:cs="Calibri"/>
                <w:sz w:val="24"/>
                <w:szCs w:val="24"/>
              </w:rPr>
              <w:t xml:space="preserve">uidance does not purport to change the existing Criteria for the Prescription of </w:t>
            </w:r>
            <w:proofErr w:type="gramStart"/>
            <w:r w:rsidR="00A87549">
              <w:rPr>
                <w:rFonts w:ascii="Calibri" w:hAnsi="Calibri" w:cs="Calibri"/>
                <w:sz w:val="24"/>
                <w:szCs w:val="24"/>
              </w:rPr>
              <w:t>Qualifications, but</w:t>
            </w:r>
            <w:proofErr w:type="gramEnd"/>
            <w:r w:rsidR="00A87549">
              <w:rPr>
                <w:rFonts w:ascii="Calibri" w:hAnsi="Calibri" w:cs="Calibri"/>
                <w:sz w:val="24"/>
                <w:szCs w:val="24"/>
              </w:rPr>
              <w:t xml:space="preserve"> is supplementary </w:t>
            </w:r>
            <w:r w:rsidR="00941C2F">
              <w:rPr>
                <w:rFonts w:ascii="Calibri" w:hAnsi="Calibri" w:cs="Calibri"/>
                <w:sz w:val="24"/>
                <w:szCs w:val="24"/>
              </w:rPr>
              <w:t>direction</w:t>
            </w:r>
            <w:r w:rsidR="00A87549">
              <w:rPr>
                <w:rFonts w:ascii="Calibri" w:hAnsi="Calibri" w:cs="Calibri"/>
                <w:sz w:val="24"/>
                <w:szCs w:val="24"/>
              </w:rPr>
              <w:t xml:space="preserve"> as to how the General Criteria and Graduate Attributes at Parts 1 and 2 and the Professional Criteria at Part 3 should be </w:t>
            </w:r>
            <w:r w:rsidR="001325D4">
              <w:rPr>
                <w:rFonts w:ascii="Calibri" w:hAnsi="Calibri" w:cs="Calibri"/>
                <w:sz w:val="24"/>
                <w:szCs w:val="24"/>
              </w:rPr>
              <w:t>interpreted</w:t>
            </w:r>
            <w:r w:rsidR="00A87549">
              <w:rPr>
                <w:rFonts w:ascii="Calibri" w:hAnsi="Calibri" w:cs="Calibri"/>
                <w:sz w:val="24"/>
                <w:szCs w:val="24"/>
              </w:rPr>
              <w:t>.</w:t>
            </w:r>
          </w:p>
          <w:p w14:paraId="0D252B7A" w14:textId="77777777" w:rsidR="002F204B" w:rsidRPr="002F204B" w:rsidRDefault="002F204B" w:rsidP="004C2409">
            <w:pPr>
              <w:spacing w:before="40" w:after="40"/>
              <w:jc w:val="both"/>
              <w:rPr>
                <w:rFonts w:ascii="Calibri" w:hAnsi="Calibri" w:cs="Calibri"/>
                <w:b/>
                <w:sz w:val="24"/>
                <w:szCs w:val="24"/>
                <w:u w:val="single"/>
              </w:rPr>
            </w:pPr>
          </w:p>
        </w:tc>
      </w:tr>
      <w:tr w:rsidR="00A55890" w:rsidRPr="00F33A7F" w14:paraId="5214F174" w14:textId="77777777" w:rsidTr="0008019B">
        <w:tc>
          <w:tcPr>
            <w:tcW w:w="533" w:type="dxa"/>
            <w:vMerge/>
            <w:shd w:val="clear" w:color="auto" w:fill="auto"/>
          </w:tcPr>
          <w:p w14:paraId="647FEE18" w14:textId="77777777" w:rsidR="00A55890" w:rsidRPr="00F33A7F" w:rsidRDefault="00A55890" w:rsidP="00AC4BA1">
            <w:pPr>
              <w:spacing w:before="40"/>
              <w:jc w:val="both"/>
              <w:rPr>
                <w:rFonts w:ascii="Helvetica 65 Medium" w:hAnsi="Helvetica 65 Medium"/>
                <w:sz w:val="24"/>
                <w:szCs w:val="24"/>
              </w:rPr>
            </w:pPr>
          </w:p>
        </w:tc>
        <w:tc>
          <w:tcPr>
            <w:tcW w:w="872" w:type="dxa"/>
            <w:gridSpan w:val="2"/>
            <w:shd w:val="clear" w:color="auto" w:fill="auto"/>
          </w:tcPr>
          <w:p w14:paraId="1ADDEF9B" w14:textId="77777777" w:rsidR="00A55890" w:rsidRPr="00F33A7F" w:rsidRDefault="00A55890" w:rsidP="00AC4BA1">
            <w:pPr>
              <w:numPr>
                <w:ilvl w:val="0"/>
                <w:numId w:val="3"/>
              </w:numPr>
              <w:spacing w:before="40" w:after="40"/>
              <w:jc w:val="both"/>
              <w:rPr>
                <w:rFonts w:ascii="Calibri" w:hAnsi="Calibri" w:cs="Calibri"/>
                <w:b/>
                <w:sz w:val="24"/>
                <w:szCs w:val="24"/>
              </w:rPr>
            </w:pPr>
          </w:p>
        </w:tc>
        <w:tc>
          <w:tcPr>
            <w:tcW w:w="8233" w:type="dxa"/>
            <w:shd w:val="clear" w:color="auto" w:fill="auto"/>
          </w:tcPr>
          <w:p w14:paraId="3D9F5CB2" w14:textId="1C524948" w:rsidR="00CD50D2" w:rsidRDefault="00A87549" w:rsidP="00A87549">
            <w:pPr>
              <w:spacing w:before="40" w:after="40"/>
              <w:rPr>
                <w:rFonts w:ascii="Calibri" w:hAnsi="Calibri" w:cs="Calibri"/>
                <w:sz w:val="24"/>
                <w:szCs w:val="24"/>
              </w:rPr>
            </w:pPr>
            <w:r>
              <w:rPr>
                <w:rFonts w:ascii="Calibri" w:hAnsi="Calibri" w:cs="Calibri"/>
                <w:sz w:val="24"/>
                <w:szCs w:val="24"/>
              </w:rPr>
              <w:t xml:space="preserve">The content of the </w:t>
            </w:r>
            <w:r w:rsidR="000D0812">
              <w:rPr>
                <w:rFonts w:ascii="Calibri" w:hAnsi="Calibri" w:cs="Calibri"/>
                <w:sz w:val="24"/>
                <w:szCs w:val="24"/>
              </w:rPr>
              <w:t>G</w:t>
            </w:r>
            <w:r>
              <w:rPr>
                <w:rFonts w:ascii="Calibri" w:hAnsi="Calibri" w:cs="Calibri"/>
                <w:sz w:val="24"/>
                <w:szCs w:val="24"/>
              </w:rPr>
              <w:t xml:space="preserve">uidance has been based on the outputs from the working groups established </w:t>
            </w:r>
            <w:r w:rsidR="0008581F">
              <w:rPr>
                <w:rFonts w:ascii="Calibri" w:hAnsi="Calibri" w:cs="Calibri"/>
                <w:sz w:val="24"/>
                <w:szCs w:val="24"/>
              </w:rPr>
              <w:t>in 2020</w:t>
            </w:r>
            <w:r>
              <w:rPr>
                <w:rFonts w:ascii="Calibri" w:hAnsi="Calibri" w:cs="Calibri"/>
                <w:sz w:val="24"/>
                <w:szCs w:val="24"/>
              </w:rPr>
              <w:t xml:space="preserve">, which included </w:t>
            </w:r>
            <w:r w:rsidR="009512C1">
              <w:rPr>
                <w:rFonts w:ascii="Calibri" w:hAnsi="Calibri" w:cs="Calibri"/>
                <w:sz w:val="24"/>
                <w:szCs w:val="24"/>
              </w:rPr>
              <w:t>subject matte</w:t>
            </w:r>
            <w:r w:rsidR="0008581F">
              <w:rPr>
                <w:rFonts w:ascii="Calibri" w:hAnsi="Calibri" w:cs="Calibri"/>
                <w:sz w:val="24"/>
                <w:szCs w:val="24"/>
              </w:rPr>
              <w:t>r</w:t>
            </w:r>
            <w:r w:rsidR="00BC7DF9">
              <w:rPr>
                <w:rFonts w:ascii="Calibri" w:hAnsi="Calibri" w:cs="Calibri"/>
                <w:sz w:val="24"/>
                <w:szCs w:val="24"/>
              </w:rPr>
              <w:t xml:space="preserve"> expert</w:t>
            </w:r>
            <w:r w:rsidR="009512C1">
              <w:rPr>
                <w:rFonts w:ascii="Calibri" w:hAnsi="Calibri" w:cs="Calibri"/>
                <w:sz w:val="24"/>
                <w:szCs w:val="24"/>
              </w:rPr>
              <w:t xml:space="preserve">s </w:t>
            </w:r>
            <w:r>
              <w:rPr>
                <w:rFonts w:ascii="Calibri" w:hAnsi="Calibri" w:cs="Calibri"/>
                <w:sz w:val="24"/>
                <w:szCs w:val="24"/>
              </w:rPr>
              <w:t xml:space="preserve">and the </w:t>
            </w:r>
            <w:r w:rsidR="009512C1">
              <w:rPr>
                <w:rFonts w:ascii="Calibri" w:hAnsi="Calibri" w:cs="Calibri"/>
                <w:sz w:val="24"/>
                <w:szCs w:val="24"/>
              </w:rPr>
              <w:t>professional bodies</w:t>
            </w:r>
            <w:r>
              <w:rPr>
                <w:rFonts w:ascii="Calibri" w:hAnsi="Calibri" w:cs="Calibri"/>
                <w:sz w:val="24"/>
                <w:szCs w:val="24"/>
              </w:rPr>
              <w:t>, w</w:t>
            </w:r>
            <w:r w:rsidR="009512C1">
              <w:rPr>
                <w:rFonts w:ascii="Calibri" w:hAnsi="Calibri" w:cs="Calibri"/>
                <w:sz w:val="24"/>
                <w:szCs w:val="24"/>
              </w:rPr>
              <w:t xml:space="preserve">ho </w:t>
            </w:r>
            <w:r>
              <w:rPr>
                <w:rFonts w:ascii="Calibri" w:hAnsi="Calibri" w:cs="Calibri"/>
                <w:sz w:val="24"/>
                <w:szCs w:val="24"/>
              </w:rPr>
              <w:t>already produce</w:t>
            </w:r>
            <w:r w:rsidR="009512C1">
              <w:rPr>
                <w:rFonts w:ascii="Calibri" w:hAnsi="Calibri" w:cs="Calibri"/>
                <w:sz w:val="24"/>
                <w:szCs w:val="24"/>
              </w:rPr>
              <w:t xml:space="preserve"> their</w:t>
            </w:r>
            <w:r>
              <w:rPr>
                <w:rFonts w:ascii="Calibri" w:hAnsi="Calibri" w:cs="Calibri"/>
                <w:sz w:val="24"/>
                <w:szCs w:val="24"/>
              </w:rPr>
              <w:t xml:space="preserve"> own CPD material in these areas. </w:t>
            </w:r>
          </w:p>
          <w:p w14:paraId="0E4D99E0" w14:textId="77777777" w:rsidR="00B71473" w:rsidRPr="000C14CB" w:rsidRDefault="00B71473" w:rsidP="00B71473">
            <w:pPr>
              <w:spacing w:before="40" w:after="40"/>
              <w:jc w:val="both"/>
              <w:rPr>
                <w:rFonts w:ascii="Calibri" w:hAnsi="Calibri" w:cs="Calibri"/>
                <w:b/>
                <w:sz w:val="24"/>
                <w:szCs w:val="24"/>
                <w:u w:val="single"/>
              </w:rPr>
            </w:pPr>
          </w:p>
        </w:tc>
      </w:tr>
      <w:tr w:rsidR="00CD50D2" w:rsidRPr="00F33A7F" w14:paraId="0A8FB4F2" w14:textId="77777777" w:rsidTr="0008019B">
        <w:tc>
          <w:tcPr>
            <w:tcW w:w="533" w:type="dxa"/>
            <w:shd w:val="clear" w:color="auto" w:fill="auto"/>
          </w:tcPr>
          <w:p w14:paraId="21FCF0CD" w14:textId="77777777" w:rsidR="00CD50D2" w:rsidRPr="00F33A7F" w:rsidRDefault="00CD50D2" w:rsidP="00AC4BA1">
            <w:pPr>
              <w:spacing w:before="40"/>
              <w:jc w:val="both"/>
              <w:rPr>
                <w:rFonts w:ascii="Helvetica 65 Medium" w:hAnsi="Helvetica 65 Medium"/>
                <w:sz w:val="24"/>
                <w:szCs w:val="24"/>
              </w:rPr>
            </w:pPr>
          </w:p>
        </w:tc>
        <w:tc>
          <w:tcPr>
            <w:tcW w:w="872" w:type="dxa"/>
            <w:gridSpan w:val="2"/>
            <w:shd w:val="clear" w:color="auto" w:fill="auto"/>
          </w:tcPr>
          <w:p w14:paraId="7FAE9C8B" w14:textId="77777777" w:rsidR="00CD50D2" w:rsidRPr="00F33A7F" w:rsidRDefault="00CD50D2" w:rsidP="00AC4BA1">
            <w:pPr>
              <w:numPr>
                <w:ilvl w:val="0"/>
                <w:numId w:val="3"/>
              </w:numPr>
              <w:spacing w:before="40" w:after="40"/>
              <w:jc w:val="both"/>
              <w:rPr>
                <w:rFonts w:ascii="Calibri" w:hAnsi="Calibri" w:cs="Calibri"/>
                <w:b/>
                <w:sz w:val="24"/>
                <w:szCs w:val="24"/>
              </w:rPr>
            </w:pPr>
          </w:p>
        </w:tc>
        <w:tc>
          <w:tcPr>
            <w:tcW w:w="8233" w:type="dxa"/>
            <w:shd w:val="clear" w:color="auto" w:fill="auto"/>
          </w:tcPr>
          <w:p w14:paraId="3C8048E5" w14:textId="37B7C078" w:rsidR="00CD50D2" w:rsidRPr="007C11BC" w:rsidRDefault="00CD50D2" w:rsidP="00CD50D2">
            <w:pPr>
              <w:spacing w:before="40" w:after="40"/>
              <w:rPr>
                <w:rFonts w:ascii="Calibri" w:hAnsi="Calibri" w:cs="Calibri"/>
                <w:sz w:val="24"/>
                <w:szCs w:val="24"/>
              </w:rPr>
            </w:pPr>
            <w:r w:rsidRPr="007C11BC">
              <w:rPr>
                <w:rFonts w:ascii="Calibri" w:hAnsi="Calibri" w:cs="Calibri"/>
                <w:sz w:val="24"/>
                <w:szCs w:val="24"/>
              </w:rPr>
              <w:t xml:space="preserve">Before launching the consultation, we developed the </w:t>
            </w:r>
            <w:r w:rsidR="000D0812">
              <w:rPr>
                <w:rFonts w:ascii="Calibri" w:hAnsi="Calibri" w:cs="Calibri"/>
                <w:sz w:val="24"/>
                <w:szCs w:val="24"/>
              </w:rPr>
              <w:t>G</w:t>
            </w:r>
            <w:r w:rsidRPr="007C11BC">
              <w:rPr>
                <w:rFonts w:ascii="Calibri" w:hAnsi="Calibri" w:cs="Calibri"/>
                <w:sz w:val="24"/>
                <w:szCs w:val="24"/>
              </w:rPr>
              <w:t xml:space="preserve">uidance with detailed input from subject matter experts and the professional bodies. We also had feedback from the Standing Conference of Heads of Schools of Architecture (SCHOSA) to help us understand better the impact of the </w:t>
            </w:r>
            <w:r w:rsidR="000D0812">
              <w:rPr>
                <w:rFonts w:ascii="Calibri" w:hAnsi="Calibri" w:cs="Calibri"/>
                <w:sz w:val="24"/>
                <w:szCs w:val="24"/>
              </w:rPr>
              <w:t>G</w:t>
            </w:r>
            <w:r w:rsidRPr="007C11BC">
              <w:rPr>
                <w:rFonts w:ascii="Calibri" w:hAnsi="Calibri" w:cs="Calibri"/>
                <w:sz w:val="24"/>
                <w:szCs w:val="24"/>
              </w:rPr>
              <w:t xml:space="preserve">uidance on institutions and any practical implications. The consultation built on that engagement to formally invite feedback from anyone with an interest in the </w:t>
            </w:r>
            <w:r w:rsidR="000D0812">
              <w:rPr>
                <w:rFonts w:ascii="Calibri" w:hAnsi="Calibri" w:cs="Calibri"/>
                <w:sz w:val="24"/>
                <w:szCs w:val="24"/>
              </w:rPr>
              <w:t>G</w:t>
            </w:r>
            <w:r w:rsidRPr="007C11BC">
              <w:rPr>
                <w:rFonts w:ascii="Calibri" w:hAnsi="Calibri" w:cs="Calibri"/>
                <w:sz w:val="24"/>
                <w:szCs w:val="24"/>
              </w:rPr>
              <w:t xml:space="preserve">uidance, particularly individual institutions. </w:t>
            </w:r>
          </w:p>
          <w:p w14:paraId="68B889EA" w14:textId="77777777" w:rsidR="00CD50D2" w:rsidRDefault="00CD50D2" w:rsidP="00E97A60">
            <w:pPr>
              <w:spacing w:before="40" w:after="40"/>
              <w:rPr>
                <w:rFonts w:ascii="Calibri" w:hAnsi="Calibri" w:cs="Calibri"/>
                <w:sz w:val="24"/>
                <w:szCs w:val="24"/>
              </w:rPr>
            </w:pPr>
          </w:p>
        </w:tc>
      </w:tr>
      <w:tr w:rsidR="006374FB" w:rsidRPr="00F33A7F" w14:paraId="2CA60F5B" w14:textId="77777777" w:rsidTr="0008019B">
        <w:tc>
          <w:tcPr>
            <w:tcW w:w="533" w:type="dxa"/>
            <w:shd w:val="clear" w:color="auto" w:fill="auto"/>
          </w:tcPr>
          <w:p w14:paraId="087FC922" w14:textId="77777777" w:rsidR="006374FB" w:rsidRPr="00F33A7F" w:rsidRDefault="006374FB" w:rsidP="00AC4BA1">
            <w:pPr>
              <w:spacing w:before="40"/>
              <w:jc w:val="both"/>
              <w:rPr>
                <w:rFonts w:ascii="Helvetica 65 Medium" w:hAnsi="Helvetica 65 Medium"/>
                <w:sz w:val="24"/>
                <w:szCs w:val="24"/>
              </w:rPr>
            </w:pPr>
          </w:p>
        </w:tc>
        <w:tc>
          <w:tcPr>
            <w:tcW w:w="872" w:type="dxa"/>
            <w:gridSpan w:val="2"/>
            <w:shd w:val="clear" w:color="auto" w:fill="auto"/>
          </w:tcPr>
          <w:p w14:paraId="2953D699" w14:textId="77777777" w:rsidR="006374FB" w:rsidRPr="00F33A7F" w:rsidRDefault="006374FB" w:rsidP="00AC4BA1">
            <w:pPr>
              <w:numPr>
                <w:ilvl w:val="0"/>
                <w:numId w:val="3"/>
              </w:numPr>
              <w:spacing w:before="40" w:after="40"/>
              <w:jc w:val="both"/>
              <w:rPr>
                <w:rFonts w:ascii="Calibri" w:hAnsi="Calibri" w:cs="Calibri"/>
                <w:b/>
                <w:sz w:val="24"/>
                <w:szCs w:val="24"/>
              </w:rPr>
            </w:pPr>
          </w:p>
        </w:tc>
        <w:tc>
          <w:tcPr>
            <w:tcW w:w="8233" w:type="dxa"/>
            <w:shd w:val="clear" w:color="auto" w:fill="auto"/>
          </w:tcPr>
          <w:p w14:paraId="01E723A7" w14:textId="0262E810" w:rsidR="00E97A60" w:rsidRDefault="009512C1" w:rsidP="00E97A60">
            <w:pPr>
              <w:spacing w:before="40" w:after="40"/>
              <w:rPr>
                <w:rFonts w:ascii="Calibri" w:hAnsi="Calibri" w:cs="Calibri"/>
                <w:sz w:val="24"/>
                <w:szCs w:val="24"/>
              </w:rPr>
            </w:pPr>
            <w:r>
              <w:rPr>
                <w:rFonts w:ascii="Calibri" w:hAnsi="Calibri" w:cs="Calibri"/>
                <w:sz w:val="24"/>
                <w:szCs w:val="24"/>
              </w:rPr>
              <w:t>T</w:t>
            </w:r>
            <w:r w:rsidR="006374FB">
              <w:rPr>
                <w:rFonts w:ascii="Calibri" w:hAnsi="Calibri" w:cs="Calibri"/>
                <w:sz w:val="24"/>
                <w:szCs w:val="24"/>
              </w:rPr>
              <w:t xml:space="preserve">he </w:t>
            </w:r>
            <w:r w:rsidR="000D0812">
              <w:rPr>
                <w:rFonts w:ascii="Calibri" w:hAnsi="Calibri" w:cs="Calibri"/>
                <w:sz w:val="24"/>
                <w:szCs w:val="24"/>
              </w:rPr>
              <w:t>G</w:t>
            </w:r>
            <w:r w:rsidR="006374FB">
              <w:rPr>
                <w:rFonts w:ascii="Calibri" w:hAnsi="Calibri" w:cs="Calibri"/>
                <w:sz w:val="24"/>
                <w:szCs w:val="24"/>
              </w:rPr>
              <w:t xml:space="preserve">uidance reflects the guidelines </w:t>
            </w:r>
            <w:r w:rsidR="00A3734E">
              <w:rPr>
                <w:rFonts w:ascii="Calibri" w:hAnsi="Calibri" w:cs="Calibri"/>
                <w:sz w:val="24"/>
                <w:szCs w:val="24"/>
              </w:rPr>
              <w:t xml:space="preserve">ARB </w:t>
            </w:r>
            <w:r w:rsidR="006374FB">
              <w:rPr>
                <w:rFonts w:ascii="Calibri" w:hAnsi="Calibri" w:cs="Calibri"/>
                <w:sz w:val="24"/>
                <w:szCs w:val="24"/>
              </w:rPr>
              <w:t xml:space="preserve">has already issued to </w:t>
            </w:r>
            <w:r w:rsidR="00A3734E">
              <w:rPr>
                <w:rFonts w:ascii="Calibri" w:hAnsi="Calibri" w:cs="Calibri"/>
                <w:sz w:val="24"/>
                <w:szCs w:val="24"/>
              </w:rPr>
              <w:t>registered architects</w:t>
            </w:r>
            <w:r w:rsidR="006374FB">
              <w:rPr>
                <w:rFonts w:ascii="Calibri" w:hAnsi="Calibri" w:cs="Calibri"/>
                <w:sz w:val="24"/>
                <w:szCs w:val="24"/>
              </w:rPr>
              <w:t xml:space="preserve">. </w:t>
            </w:r>
            <w:r w:rsidR="00E97A60">
              <w:rPr>
                <w:rFonts w:ascii="Calibri" w:hAnsi="Calibri" w:cs="Calibri"/>
                <w:sz w:val="24"/>
                <w:szCs w:val="24"/>
              </w:rPr>
              <w:t>The core content remains broadly the same</w:t>
            </w:r>
            <w:r w:rsidR="00A3734E">
              <w:rPr>
                <w:rFonts w:ascii="Calibri" w:hAnsi="Calibri" w:cs="Calibri"/>
                <w:sz w:val="24"/>
                <w:szCs w:val="24"/>
              </w:rPr>
              <w:t xml:space="preserve"> for those seeking </w:t>
            </w:r>
            <w:proofErr w:type="gramStart"/>
            <w:r w:rsidR="00A3734E">
              <w:rPr>
                <w:rFonts w:ascii="Calibri" w:hAnsi="Calibri" w:cs="Calibri"/>
                <w:sz w:val="24"/>
                <w:szCs w:val="24"/>
              </w:rPr>
              <w:t>registration</w:t>
            </w:r>
            <w:r w:rsidR="00E97A60">
              <w:rPr>
                <w:rFonts w:ascii="Calibri" w:hAnsi="Calibri" w:cs="Calibri"/>
                <w:sz w:val="24"/>
                <w:szCs w:val="24"/>
              </w:rPr>
              <w:t>, but</w:t>
            </w:r>
            <w:proofErr w:type="gramEnd"/>
            <w:r w:rsidR="00E97A60">
              <w:rPr>
                <w:rFonts w:ascii="Calibri" w:hAnsi="Calibri" w:cs="Calibri"/>
                <w:sz w:val="24"/>
                <w:szCs w:val="24"/>
              </w:rPr>
              <w:t xml:space="preserve"> adapted for </w:t>
            </w:r>
            <w:r>
              <w:rPr>
                <w:rFonts w:ascii="Calibri" w:hAnsi="Calibri" w:cs="Calibri"/>
                <w:sz w:val="24"/>
                <w:szCs w:val="24"/>
              </w:rPr>
              <w:t>an educational context</w:t>
            </w:r>
            <w:r w:rsidR="00E97A60">
              <w:rPr>
                <w:rFonts w:ascii="Calibri" w:hAnsi="Calibri" w:cs="Calibri"/>
                <w:sz w:val="24"/>
                <w:szCs w:val="24"/>
              </w:rPr>
              <w:t>.</w:t>
            </w:r>
          </w:p>
          <w:p w14:paraId="138D0A0A" w14:textId="77777777" w:rsidR="006374FB" w:rsidRDefault="006374FB" w:rsidP="00A87549">
            <w:pPr>
              <w:spacing w:before="40" w:after="40"/>
              <w:rPr>
                <w:rFonts w:ascii="Calibri" w:hAnsi="Calibri" w:cs="Calibri"/>
                <w:sz w:val="24"/>
                <w:szCs w:val="24"/>
              </w:rPr>
            </w:pPr>
          </w:p>
          <w:p w14:paraId="4729E0E8" w14:textId="43AD8ED0" w:rsidR="009512C1" w:rsidRPr="0008581F" w:rsidRDefault="009512C1" w:rsidP="00A87549">
            <w:pPr>
              <w:spacing w:before="40" w:after="40"/>
              <w:rPr>
                <w:rFonts w:ascii="Calibri" w:hAnsi="Calibri" w:cs="Calibri"/>
                <w:sz w:val="24"/>
                <w:szCs w:val="24"/>
                <w:u w:val="single"/>
              </w:rPr>
            </w:pPr>
            <w:r w:rsidRPr="0008581F">
              <w:rPr>
                <w:rFonts w:ascii="Calibri" w:hAnsi="Calibri" w:cs="Calibri"/>
                <w:sz w:val="24"/>
                <w:szCs w:val="24"/>
                <w:u w:val="single"/>
              </w:rPr>
              <w:t>Consultation</w:t>
            </w:r>
          </w:p>
        </w:tc>
      </w:tr>
      <w:tr w:rsidR="004A196E" w:rsidRPr="00F33A7F" w14:paraId="2BDF8214" w14:textId="77777777" w:rsidTr="0008019B">
        <w:tc>
          <w:tcPr>
            <w:tcW w:w="533" w:type="dxa"/>
            <w:shd w:val="clear" w:color="auto" w:fill="auto"/>
          </w:tcPr>
          <w:p w14:paraId="79A7DF2F" w14:textId="77777777" w:rsidR="004A196E" w:rsidRPr="00F33A7F" w:rsidRDefault="004A196E" w:rsidP="00AC4BA1">
            <w:pPr>
              <w:spacing w:before="40"/>
              <w:jc w:val="both"/>
              <w:rPr>
                <w:rFonts w:ascii="Helvetica 65 Medium" w:hAnsi="Helvetica 65 Medium"/>
                <w:sz w:val="24"/>
                <w:szCs w:val="24"/>
              </w:rPr>
            </w:pPr>
          </w:p>
        </w:tc>
        <w:tc>
          <w:tcPr>
            <w:tcW w:w="872" w:type="dxa"/>
            <w:gridSpan w:val="2"/>
            <w:shd w:val="clear" w:color="auto" w:fill="auto"/>
          </w:tcPr>
          <w:p w14:paraId="382A1911" w14:textId="77777777" w:rsidR="004A196E" w:rsidRPr="00F33A7F" w:rsidRDefault="004A196E" w:rsidP="00AC4BA1">
            <w:pPr>
              <w:numPr>
                <w:ilvl w:val="0"/>
                <w:numId w:val="3"/>
              </w:numPr>
              <w:spacing w:before="40" w:after="40"/>
              <w:jc w:val="both"/>
              <w:rPr>
                <w:rFonts w:ascii="Calibri" w:hAnsi="Calibri" w:cs="Calibri"/>
                <w:b/>
                <w:sz w:val="24"/>
                <w:szCs w:val="24"/>
              </w:rPr>
            </w:pPr>
          </w:p>
        </w:tc>
        <w:tc>
          <w:tcPr>
            <w:tcW w:w="8233" w:type="dxa"/>
            <w:shd w:val="clear" w:color="auto" w:fill="auto"/>
          </w:tcPr>
          <w:p w14:paraId="7D9A752A" w14:textId="278E0457" w:rsidR="005225F7" w:rsidRDefault="009512C1" w:rsidP="00AC4BA1">
            <w:pPr>
              <w:spacing w:before="40" w:after="40"/>
              <w:jc w:val="both"/>
              <w:rPr>
                <w:rFonts w:ascii="Calibri" w:hAnsi="Calibri" w:cs="Calibri"/>
                <w:sz w:val="24"/>
                <w:szCs w:val="24"/>
              </w:rPr>
            </w:pPr>
            <w:r>
              <w:rPr>
                <w:rFonts w:ascii="Calibri" w:hAnsi="Calibri" w:cs="Calibri"/>
                <w:sz w:val="24"/>
                <w:szCs w:val="24"/>
              </w:rPr>
              <w:t xml:space="preserve">The </w:t>
            </w:r>
            <w:r w:rsidR="005225F7">
              <w:rPr>
                <w:rFonts w:ascii="Calibri" w:hAnsi="Calibri" w:cs="Calibri"/>
                <w:sz w:val="24"/>
                <w:szCs w:val="24"/>
              </w:rPr>
              <w:t xml:space="preserve">draft </w:t>
            </w:r>
            <w:r>
              <w:rPr>
                <w:rFonts w:ascii="Calibri" w:hAnsi="Calibri" w:cs="Calibri"/>
                <w:sz w:val="24"/>
                <w:szCs w:val="24"/>
              </w:rPr>
              <w:t xml:space="preserve">consultation report is at </w:t>
            </w:r>
            <w:r w:rsidRPr="006061C8">
              <w:rPr>
                <w:rFonts w:ascii="Calibri" w:hAnsi="Calibri" w:cs="Calibri"/>
                <w:b/>
                <w:bCs/>
                <w:color w:val="4F81BD" w:themeColor="accent1"/>
                <w:sz w:val="24"/>
                <w:szCs w:val="24"/>
              </w:rPr>
              <w:t xml:space="preserve">Appendix </w:t>
            </w:r>
            <w:r w:rsidR="00A3734E" w:rsidRPr="006061C8">
              <w:rPr>
                <w:rFonts w:ascii="Calibri" w:hAnsi="Calibri" w:cs="Calibri"/>
                <w:b/>
                <w:bCs/>
                <w:color w:val="4F81BD" w:themeColor="accent1"/>
                <w:sz w:val="24"/>
                <w:szCs w:val="24"/>
              </w:rPr>
              <w:t>A</w:t>
            </w:r>
            <w:r>
              <w:rPr>
                <w:rFonts w:ascii="Calibri" w:hAnsi="Calibri" w:cs="Calibri"/>
                <w:sz w:val="24"/>
                <w:szCs w:val="24"/>
              </w:rPr>
              <w:t xml:space="preserve">. </w:t>
            </w:r>
            <w:r w:rsidR="005225F7">
              <w:rPr>
                <w:rFonts w:ascii="Calibri" w:hAnsi="Calibri" w:cs="Calibri"/>
                <w:sz w:val="24"/>
                <w:szCs w:val="24"/>
              </w:rPr>
              <w:t xml:space="preserve">When the </w:t>
            </w:r>
            <w:r w:rsidR="000D0812">
              <w:rPr>
                <w:rFonts w:ascii="Calibri" w:hAnsi="Calibri" w:cs="Calibri"/>
                <w:sz w:val="24"/>
                <w:szCs w:val="24"/>
              </w:rPr>
              <w:t>G</w:t>
            </w:r>
            <w:r w:rsidR="005225F7">
              <w:rPr>
                <w:rFonts w:ascii="Calibri" w:hAnsi="Calibri" w:cs="Calibri"/>
                <w:sz w:val="24"/>
                <w:szCs w:val="24"/>
              </w:rPr>
              <w:t>uidance is due to be published, the consultation report will be updated and prepared for publication at the same time. The purpose of the consultation report is to:</w:t>
            </w:r>
          </w:p>
          <w:p w14:paraId="5E744923" w14:textId="2D4DDF98" w:rsidR="005225F7" w:rsidRPr="00CD50D2" w:rsidRDefault="005225F7" w:rsidP="0008019B">
            <w:pPr>
              <w:pStyle w:val="ListParagraph"/>
              <w:numPr>
                <w:ilvl w:val="0"/>
                <w:numId w:val="29"/>
              </w:numPr>
              <w:spacing w:before="40" w:after="40"/>
              <w:rPr>
                <w:rFonts w:ascii="Calibri" w:hAnsi="Calibri" w:cs="Calibri"/>
                <w:sz w:val="24"/>
                <w:szCs w:val="24"/>
              </w:rPr>
            </w:pPr>
            <w:r w:rsidRPr="00CD50D2">
              <w:rPr>
                <w:rFonts w:ascii="Calibri" w:hAnsi="Calibri" w:cs="Calibri"/>
                <w:sz w:val="24"/>
                <w:szCs w:val="24"/>
              </w:rPr>
              <w:t xml:space="preserve">transparently share stakeholder feedback received through the consultation </w:t>
            </w:r>
            <w:proofErr w:type="gramStart"/>
            <w:r w:rsidRPr="00CD50D2">
              <w:rPr>
                <w:rFonts w:ascii="Calibri" w:hAnsi="Calibri" w:cs="Calibri"/>
                <w:sz w:val="24"/>
                <w:szCs w:val="24"/>
              </w:rPr>
              <w:t>exercise;</w:t>
            </w:r>
            <w:proofErr w:type="gramEnd"/>
          </w:p>
          <w:p w14:paraId="016581AA" w14:textId="29CFDA16" w:rsidR="005225F7" w:rsidRPr="00CD50D2" w:rsidRDefault="005225F7" w:rsidP="0008019B">
            <w:pPr>
              <w:pStyle w:val="ListParagraph"/>
              <w:numPr>
                <w:ilvl w:val="0"/>
                <w:numId w:val="29"/>
              </w:numPr>
              <w:spacing w:before="40" w:after="40"/>
              <w:rPr>
                <w:rFonts w:ascii="Calibri" w:hAnsi="Calibri" w:cs="Calibri"/>
                <w:sz w:val="24"/>
                <w:szCs w:val="24"/>
              </w:rPr>
            </w:pPr>
            <w:r w:rsidRPr="00CD50D2">
              <w:rPr>
                <w:rFonts w:ascii="Calibri" w:hAnsi="Calibri" w:cs="Calibri"/>
                <w:sz w:val="24"/>
                <w:szCs w:val="24"/>
              </w:rPr>
              <w:t xml:space="preserve">demonstrate that we have listened by documenting what we learned and how we have addressed it in the updated </w:t>
            </w:r>
            <w:proofErr w:type="gramStart"/>
            <w:r w:rsidR="000D0812">
              <w:rPr>
                <w:rFonts w:ascii="Calibri" w:hAnsi="Calibri" w:cs="Calibri"/>
                <w:sz w:val="24"/>
                <w:szCs w:val="24"/>
              </w:rPr>
              <w:t>G</w:t>
            </w:r>
            <w:r w:rsidRPr="00CD50D2">
              <w:rPr>
                <w:rFonts w:ascii="Calibri" w:hAnsi="Calibri" w:cs="Calibri"/>
                <w:sz w:val="24"/>
                <w:szCs w:val="24"/>
              </w:rPr>
              <w:t>uidance;</w:t>
            </w:r>
            <w:proofErr w:type="gramEnd"/>
          </w:p>
          <w:p w14:paraId="18DDF4C8" w14:textId="2E2BB512" w:rsidR="005225F7" w:rsidRPr="00CD50D2" w:rsidRDefault="005225F7" w:rsidP="0008019B">
            <w:pPr>
              <w:pStyle w:val="ListParagraph"/>
              <w:numPr>
                <w:ilvl w:val="0"/>
                <w:numId w:val="29"/>
              </w:numPr>
              <w:spacing w:before="40" w:after="40"/>
              <w:rPr>
                <w:rFonts w:ascii="Calibri" w:hAnsi="Calibri" w:cs="Calibri"/>
                <w:sz w:val="24"/>
                <w:szCs w:val="24"/>
              </w:rPr>
            </w:pPr>
            <w:r w:rsidRPr="00CD50D2">
              <w:rPr>
                <w:rFonts w:ascii="Calibri" w:hAnsi="Calibri" w:cs="Calibri"/>
                <w:sz w:val="24"/>
                <w:szCs w:val="24"/>
              </w:rPr>
              <w:t xml:space="preserve">act as an evidence base that supports the final version of the </w:t>
            </w:r>
            <w:r w:rsidR="000D0812">
              <w:rPr>
                <w:rFonts w:ascii="Calibri" w:hAnsi="Calibri" w:cs="Calibri"/>
                <w:sz w:val="24"/>
                <w:szCs w:val="24"/>
              </w:rPr>
              <w:t>G</w:t>
            </w:r>
            <w:r w:rsidRPr="00CD50D2">
              <w:rPr>
                <w:rFonts w:ascii="Calibri" w:hAnsi="Calibri" w:cs="Calibri"/>
                <w:sz w:val="24"/>
                <w:szCs w:val="24"/>
              </w:rPr>
              <w:t>uidance.</w:t>
            </w:r>
          </w:p>
          <w:p w14:paraId="0CFB9DC0" w14:textId="5E746FD5" w:rsidR="009512C1" w:rsidRPr="00CD50D2" w:rsidRDefault="009512C1" w:rsidP="00AC4BA1">
            <w:pPr>
              <w:spacing w:before="40" w:after="40"/>
              <w:jc w:val="both"/>
              <w:rPr>
                <w:rFonts w:ascii="Calibri" w:hAnsi="Calibri" w:cs="Calibri"/>
                <w:sz w:val="24"/>
                <w:szCs w:val="24"/>
              </w:rPr>
            </w:pPr>
          </w:p>
        </w:tc>
      </w:tr>
      <w:tr w:rsidR="00CD50D2" w:rsidRPr="00F33A7F" w14:paraId="148D67F8" w14:textId="77777777" w:rsidTr="0008019B">
        <w:tc>
          <w:tcPr>
            <w:tcW w:w="533" w:type="dxa"/>
            <w:shd w:val="clear" w:color="auto" w:fill="auto"/>
          </w:tcPr>
          <w:p w14:paraId="03719A63" w14:textId="77777777" w:rsidR="00CD50D2" w:rsidRPr="00F33A7F" w:rsidRDefault="00CD50D2" w:rsidP="00AC4BA1">
            <w:pPr>
              <w:spacing w:before="40"/>
              <w:jc w:val="both"/>
              <w:rPr>
                <w:rFonts w:ascii="Helvetica 65 Medium" w:hAnsi="Helvetica 65 Medium"/>
                <w:sz w:val="24"/>
                <w:szCs w:val="24"/>
              </w:rPr>
            </w:pPr>
          </w:p>
        </w:tc>
        <w:tc>
          <w:tcPr>
            <w:tcW w:w="872" w:type="dxa"/>
            <w:gridSpan w:val="2"/>
            <w:shd w:val="clear" w:color="auto" w:fill="auto"/>
          </w:tcPr>
          <w:p w14:paraId="383C6EDA" w14:textId="77777777" w:rsidR="00CD50D2" w:rsidRPr="00F33A7F" w:rsidRDefault="00CD50D2" w:rsidP="00AC4BA1">
            <w:pPr>
              <w:numPr>
                <w:ilvl w:val="0"/>
                <w:numId w:val="3"/>
              </w:numPr>
              <w:spacing w:before="40" w:after="40"/>
              <w:jc w:val="both"/>
              <w:rPr>
                <w:rFonts w:ascii="Calibri" w:hAnsi="Calibri" w:cs="Calibri"/>
                <w:b/>
                <w:sz w:val="24"/>
                <w:szCs w:val="24"/>
              </w:rPr>
            </w:pPr>
          </w:p>
        </w:tc>
        <w:tc>
          <w:tcPr>
            <w:tcW w:w="8233" w:type="dxa"/>
            <w:shd w:val="clear" w:color="auto" w:fill="auto"/>
          </w:tcPr>
          <w:p w14:paraId="5CE1B4B4" w14:textId="11B6EB29" w:rsidR="003B6D8C" w:rsidRPr="007C11BC" w:rsidRDefault="003B6D8C" w:rsidP="003B6D8C">
            <w:pPr>
              <w:spacing w:before="40" w:after="40"/>
              <w:rPr>
                <w:rFonts w:ascii="Calibri" w:hAnsi="Calibri" w:cs="Calibri"/>
                <w:sz w:val="24"/>
                <w:szCs w:val="24"/>
              </w:rPr>
            </w:pPr>
            <w:r>
              <w:rPr>
                <w:rFonts w:ascii="Calibri" w:hAnsi="Calibri" w:cs="Calibri"/>
                <w:sz w:val="24"/>
                <w:szCs w:val="24"/>
              </w:rPr>
              <w:t xml:space="preserve">The consultation exercise ran from </w:t>
            </w:r>
            <w:r w:rsidRPr="003B6D8C">
              <w:rPr>
                <w:rFonts w:ascii="Calibri" w:hAnsi="Calibri" w:cs="Calibri"/>
                <w:sz w:val="24"/>
                <w:szCs w:val="24"/>
              </w:rPr>
              <w:t>25 February to 23 April 2021</w:t>
            </w:r>
            <w:r>
              <w:rPr>
                <w:rFonts w:ascii="Calibri" w:hAnsi="Calibri" w:cs="Calibri"/>
                <w:sz w:val="24"/>
                <w:szCs w:val="24"/>
              </w:rPr>
              <w:t>. It</w:t>
            </w:r>
            <w:r w:rsidRPr="00A4438A">
              <w:rPr>
                <w:rFonts w:eastAsia="Calibri" w:cstheme="minorHAnsi"/>
                <w:sz w:val="24"/>
                <w:szCs w:val="24"/>
              </w:rPr>
              <w:t xml:space="preserve"> </w:t>
            </w:r>
            <w:r>
              <w:rPr>
                <w:rFonts w:ascii="Calibri" w:hAnsi="Calibri" w:cs="Calibri"/>
                <w:sz w:val="24"/>
                <w:szCs w:val="24"/>
              </w:rPr>
              <w:t xml:space="preserve">was primarily targeted at institutions that offer ARB-prescribed qualifications, and </w:t>
            </w:r>
            <w:r w:rsidR="009D04FF">
              <w:rPr>
                <w:rFonts w:ascii="Calibri" w:hAnsi="Calibri" w:cs="Calibri"/>
                <w:sz w:val="24"/>
                <w:szCs w:val="24"/>
              </w:rPr>
              <w:t>secondarily</w:t>
            </w:r>
            <w:r>
              <w:rPr>
                <w:rFonts w:ascii="Calibri" w:hAnsi="Calibri" w:cs="Calibri"/>
                <w:sz w:val="24"/>
                <w:szCs w:val="24"/>
              </w:rPr>
              <w:t xml:space="preserve"> at architects, students, and relevant organisations. </w:t>
            </w:r>
            <w:r w:rsidR="009D04FF">
              <w:rPr>
                <w:rFonts w:ascii="Calibri" w:hAnsi="Calibri" w:cs="Calibri"/>
                <w:sz w:val="24"/>
                <w:szCs w:val="24"/>
              </w:rPr>
              <w:t xml:space="preserve">Direct emails were sent to </w:t>
            </w:r>
            <w:r w:rsidR="00DD5250">
              <w:rPr>
                <w:rFonts w:ascii="Calibri" w:hAnsi="Calibri" w:cs="Calibri"/>
                <w:sz w:val="24"/>
                <w:szCs w:val="24"/>
              </w:rPr>
              <w:t>more than</w:t>
            </w:r>
            <w:r w:rsidR="009D04FF">
              <w:rPr>
                <w:rFonts w:ascii="Calibri" w:hAnsi="Calibri" w:cs="Calibri"/>
                <w:sz w:val="24"/>
                <w:szCs w:val="24"/>
              </w:rPr>
              <w:t xml:space="preserve"> </w:t>
            </w:r>
            <w:r w:rsidR="009D04FF" w:rsidRPr="007C11BC">
              <w:rPr>
                <w:rFonts w:ascii="Calibri" w:hAnsi="Calibri" w:cs="Calibri"/>
                <w:sz w:val="24"/>
                <w:szCs w:val="24"/>
              </w:rPr>
              <w:t>60 institutions</w:t>
            </w:r>
            <w:r w:rsidR="009D04FF">
              <w:rPr>
                <w:rFonts w:ascii="Calibri" w:hAnsi="Calibri" w:cs="Calibri"/>
                <w:sz w:val="24"/>
                <w:szCs w:val="24"/>
              </w:rPr>
              <w:t xml:space="preserve">, with a follow up email from the Chief Executive ahead of the consultation deadline. </w:t>
            </w:r>
            <w:r>
              <w:rPr>
                <w:rFonts w:ascii="Calibri" w:hAnsi="Calibri" w:cs="Calibri"/>
                <w:sz w:val="24"/>
                <w:szCs w:val="24"/>
              </w:rPr>
              <w:t>It was launched through a dedicated article in the February</w:t>
            </w:r>
            <w:r w:rsidRPr="007C11BC">
              <w:rPr>
                <w:rFonts w:ascii="Calibri" w:hAnsi="Calibri" w:cs="Calibri"/>
                <w:sz w:val="24"/>
                <w:szCs w:val="24"/>
              </w:rPr>
              <w:t xml:space="preserve"> </w:t>
            </w:r>
            <w:proofErr w:type="spellStart"/>
            <w:r w:rsidRPr="007C11BC">
              <w:rPr>
                <w:rFonts w:ascii="Calibri" w:hAnsi="Calibri" w:cs="Calibri"/>
                <w:sz w:val="24"/>
                <w:szCs w:val="24"/>
              </w:rPr>
              <w:t>eBulletin</w:t>
            </w:r>
            <w:proofErr w:type="spellEnd"/>
            <w:r w:rsidRPr="007C11BC">
              <w:rPr>
                <w:rFonts w:ascii="Calibri" w:hAnsi="Calibri" w:cs="Calibri"/>
                <w:sz w:val="24"/>
                <w:szCs w:val="24"/>
              </w:rPr>
              <w:t xml:space="preserve"> sent to 43,035 architects</w:t>
            </w:r>
            <w:r>
              <w:rPr>
                <w:rFonts w:ascii="Calibri" w:hAnsi="Calibri" w:cs="Calibri"/>
                <w:sz w:val="24"/>
                <w:szCs w:val="24"/>
              </w:rPr>
              <w:t xml:space="preserve">, on our </w:t>
            </w:r>
            <w:r w:rsidRPr="007C11BC">
              <w:rPr>
                <w:rFonts w:ascii="Calibri" w:hAnsi="Calibri" w:cs="Calibri"/>
                <w:sz w:val="24"/>
                <w:szCs w:val="24"/>
              </w:rPr>
              <w:t>online social media channels</w:t>
            </w:r>
            <w:r>
              <w:rPr>
                <w:rFonts w:ascii="Calibri" w:hAnsi="Calibri" w:cs="Calibri"/>
                <w:sz w:val="24"/>
                <w:szCs w:val="24"/>
              </w:rPr>
              <w:t xml:space="preserve">, and through an interview with the Chief Executive in the Architects Journal. It was also sent to all </w:t>
            </w:r>
            <w:r w:rsidRPr="007C11BC">
              <w:rPr>
                <w:rFonts w:ascii="Calibri" w:hAnsi="Calibri" w:cs="Calibri"/>
                <w:sz w:val="24"/>
                <w:szCs w:val="24"/>
              </w:rPr>
              <w:t xml:space="preserve">the professional </w:t>
            </w:r>
            <w:r>
              <w:rPr>
                <w:rFonts w:ascii="Calibri" w:hAnsi="Calibri" w:cs="Calibri"/>
                <w:sz w:val="24"/>
                <w:szCs w:val="24"/>
              </w:rPr>
              <w:t xml:space="preserve">architecture </w:t>
            </w:r>
            <w:r w:rsidRPr="007C11BC">
              <w:rPr>
                <w:rFonts w:ascii="Calibri" w:hAnsi="Calibri" w:cs="Calibri"/>
                <w:sz w:val="24"/>
                <w:szCs w:val="24"/>
              </w:rPr>
              <w:t xml:space="preserve">institutes </w:t>
            </w:r>
            <w:r>
              <w:rPr>
                <w:rFonts w:ascii="Calibri" w:hAnsi="Calibri" w:cs="Calibri"/>
                <w:sz w:val="24"/>
                <w:szCs w:val="24"/>
              </w:rPr>
              <w:t>and raised in ARB’s quarterly meetings with them.</w:t>
            </w:r>
          </w:p>
          <w:p w14:paraId="01758574" w14:textId="77777777" w:rsidR="00CD50D2" w:rsidRDefault="00CD50D2" w:rsidP="00FC111F">
            <w:pPr>
              <w:spacing w:before="40" w:after="40"/>
              <w:rPr>
                <w:rFonts w:ascii="Calibri" w:hAnsi="Calibri" w:cs="Calibri"/>
                <w:sz w:val="24"/>
                <w:szCs w:val="24"/>
              </w:rPr>
            </w:pPr>
          </w:p>
        </w:tc>
      </w:tr>
      <w:tr w:rsidR="003B6D8C" w:rsidRPr="00F33A7F" w14:paraId="4E788579" w14:textId="77777777" w:rsidTr="0008019B">
        <w:tc>
          <w:tcPr>
            <w:tcW w:w="533" w:type="dxa"/>
            <w:shd w:val="clear" w:color="auto" w:fill="auto"/>
          </w:tcPr>
          <w:p w14:paraId="053D088A" w14:textId="77777777" w:rsidR="003B6D8C" w:rsidRPr="00F33A7F" w:rsidRDefault="003B6D8C" w:rsidP="00AC4BA1">
            <w:pPr>
              <w:spacing w:before="40"/>
              <w:jc w:val="both"/>
              <w:rPr>
                <w:rFonts w:ascii="Helvetica 65 Medium" w:hAnsi="Helvetica 65 Medium"/>
                <w:sz w:val="24"/>
                <w:szCs w:val="24"/>
              </w:rPr>
            </w:pPr>
          </w:p>
        </w:tc>
        <w:tc>
          <w:tcPr>
            <w:tcW w:w="872" w:type="dxa"/>
            <w:gridSpan w:val="2"/>
            <w:shd w:val="clear" w:color="auto" w:fill="auto"/>
          </w:tcPr>
          <w:p w14:paraId="117D57EC" w14:textId="77777777" w:rsidR="003B6D8C" w:rsidRPr="00F33A7F" w:rsidRDefault="003B6D8C" w:rsidP="00AC4BA1">
            <w:pPr>
              <w:numPr>
                <w:ilvl w:val="0"/>
                <w:numId w:val="3"/>
              </w:numPr>
              <w:spacing w:before="40" w:after="40"/>
              <w:jc w:val="both"/>
              <w:rPr>
                <w:rFonts w:ascii="Calibri" w:hAnsi="Calibri" w:cs="Calibri"/>
                <w:b/>
                <w:sz w:val="24"/>
                <w:szCs w:val="24"/>
              </w:rPr>
            </w:pPr>
          </w:p>
        </w:tc>
        <w:tc>
          <w:tcPr>
            <w:tcW w:w="8233" w:type="dxa"/>
            <w:shd w:val="clear" w:color="auto" w:fill="auto"/>
          </w:tcPr>
          <w:p w14:paraId="799A912D" w14:textId="3BE087ED" w:rsidR="003B6D8C" w:rsidRPr="007C11BC" w:rsidRDefault="003B6D8C" w:rsidP="003B6D8C">
            <w:pPr>
              <w:spacing w:before="40" w:after="40"/>
              <w:rPr>
                <w:rFonts w:ascii="Calibri" w:hAnsi="Calibri" w:cs="Calibri"/>
                <w:sz w:val="24"/>
                <w:szCs w:val="24"/>
              </w:rPr>
            </w:pPr>
            <w:r w:rsidRPr="007C11BC">
              <w:rPr>
                <w:rFonts w:ascii="Calibri" w:hAnsi="Calibri" w:cs="Calibri"/>
                <w:sz w:val="24"/>
                <w:szCs w:val="24"/>
              </w:rPr>
              <w:t>We received 48 responses to our consultation</w:t>
            </w:r>
            <w:r>
              <w:rPr>
                <w:rFonts w:ascii="Calibri" w:hAnsi="Calibri" w:cs="Calibri"/>
                <w:sz w:val="24"/>
                <w:szCs w:val="24"/>
              </w:rPr>
              <w:t xml:space="preserve">. </w:t>
            </w:r>
            <w:r w:rsidRPr="007C11BC">
              <w:rPr>
                <w:rFonts w:ascii="Calibri" w:hAnsi="Calibri" w:cs="Calibri"/>
                <w:sz w:val="24"/>
                <w:szCs w:val="24"/>
              </w:rPr>
              <w:t xml:space="preserve">These included 15 responses on behalf of organisations, including climate action groups. </w:t>
            </w:r>
            <w:proofErr w:type="gramStart"/>
            <w:r w:rsidRPr="007C11BC">
              <w:rPr>
                <w:rFonts w:ascii="Calibri" w:hAnsi="Calibri" w:cs="Calibri"/>
                <w:sz w:val="24"/>
                <w:szCs w:val="24"/>
              </w:rPr>
              <w:t>The majority of</w:t>
            </w:r>
            <w:proofErr w:type="gramEnd"/>
            <w:r w:rsidRPr="007C11BC">
              <w:rPr>
                <w:rFonts w:ascii="Calibri" w:hAnsi="Calibri" w:cs="Calibri"/>
                <w:sz w:val="24"/>
                <w:szCs w:val="24"/>
              </w:rPr>
              <w:t xml:space="preserve"> respondents were architects; 73% were registered architects, including those who are also academics. Full analysis </w:t>
            </w:r>
            <w:r w:rsidR="0008019B">
              <w:rPr>
                <w:rFonts w:ascii="Calibri" w:hAnsi="Calibri" w:cs="Calibri"/>
                <w:sz w:val="24"/>
                <w:szCs w:val="24"/>
              </w:rPr>
              <w:t>about who responded</w:t>
            </w:r>
            <w:r w:rsidRPr="007C11BC">
              <w:rPr>
                <w:rFonts w:ascii="Calibri" w:hAnsi="Calibri" w:cs="Calibri"/>
                <w:sz w:val="24"/>
                <w:szCs w:val="24"/>
              </w:rPr>
              <w:t xml:space="preserve"> is available in Chapter two of </w:t>
            </w:r>
            <w:r w:rsidR="0097331E" w:rsidRPr="006061C8">
              <w:rPr>
                <w:rFonts w:ascii="Calibri" w:hAnsi="Calibri" w:cs="Calibri"/>
                <w:b/>
                <w:bCs/>
                <w:color w:val="4F81BD" w:themeColor="accent1"/>
                <w:sz w:val="24"/>
                <w:szCs w:val="24"/>
              </w:rPr>
              <w:t>Appendix A</w:t>
            </w:r>
            <w:r w:rsidRPr="007C11BC">
              <w:rPr>
                <w:rFonts w:ascii="Calibri" w:hAnsi="Calibri" w:cs="Calibri"/>
                <w:sz w:val="24"/>
                <w:szCs w:val="24"/>
              </w:rPr>
              <w:t>.</w:t>
            </w:r>
          </w:p>
          <w:p w14:paraId="10A2BEA5" w14:textId="77777777" w:rsidR="003B6D8C" w:rsidRDefault="003B6D8C" w:rsidP="00FC111F">
            <w:pPr>
              <w:spacing w:before="40" w:after="40"/>
              <w:rPr>
                <w:rFonts w:ascii="Calibri" w:hAnsi="Calibri" w:cs="Calibri"/>
                <w:sz w:val="24"/>
                <w:szCs w:val="24"/>
                <w:u w:val="single"/>
              </w:rPr>
            </w:pPr>
          </w:p>
        </w:tc>
      </w:tr>
      <w:tr w:rsidR="003B6D8C" w:rsidRPr="00F33A7F" w14:paraId="704D63AC" w14:textId="77777777" w:rsidTr="0008019B">
        <w:tc>
          <w:tcPr>
            <w:tcW w:w="533" w:type="dxa"/>
            <w:shd w:val="clear" w:color="auto" w:fill="auto"/>
          </w:tcPr>
          <w:p w14:paraId="0F656173" w14:textId="77777777" w:rsidR="003B6D8C" w:rsidRPr="00F33A7F" w:rsidRDefault="003B6D8C" w:rsidP="00AC4BA1">
            <w:pPr>
              <w:spacing w:before="40"/>
              <w:jc w:val="both"/>
              <w:rPr>
                <w:rFonts w:ascii="Helvetica 65 Medium" w:hAnsi="Helvetica 65 Medium"/>
                <w:sz w:val="24"/>
                <w:szCs w:val="24"/>
              </w:rPr>
            </w:pPr>
          </w:p>
        </w:tc>
        <w:tc>
          <w:tcPr>
            <w:tcW w:w="872" w:type="dxa"/>
            <w:gridSpan w:val="2"/>
            <w:shd w:val="clear" w:color="auto" w:fill="auto"/>
          </w:tcPr>
          <w:p w14:paraId="3F582BBB" w14:textId="77777777" w:rsidR="003B6D8C" w:rsidRPr="00F33A7F" w:rsidRDefault="003B6D8C" w:rsidP="00AC4BA1">
            <w:pPr>
              <w:numPr>
                <w:ilvl w:val="0"/>
                <w:numId w:val="3"/>
              </w:numPr>
              <w:spacing w:before="40" w:after="40"/>
              <w:jc w:val="both"/>
              <w:rPr>
                <w:rFonts w:ascii="Calibri" w:hAnsi="Calibri" w:cs="Calibri"/>
                <w:b/>
                <w:sz w:val="24"/>
                <w:szCs w:val="24"/>
              </w:rPr>
            </w:pPr>
          </w:p>
        </w:tc>
        <w:tc>
          <w:tcPr>
            <w:tcW w:w="8233" w:type="dxa"/>
            <w:shd w:val="clear" w:color="auto" w:fill="auto"/>
          </w:tcPr>
          <w:p w14:paraId="543EB233" w14:textId="77777777" w:rsidR="003B6D8C" w:rsidRDefault="003B6D8C" w:rsidP="00FC111F">
            <w:pPr>
              <w:spacing w:before="40" w:after="40"/>
              <w:rPr>
                <w:rFonts w:ascii="Calibri" w:hAnsi="Calibri" w:cs="Calibri"/>
                <w:sz w:val="24"/>
                <w:szCs w:val="24"/>
                <w:u w:val="single"/>
              </w:rPr>
            </w:pPr>
            <w:r>
              <w:rPr>
                <w:rFonts w:ascii="Calibri" w:hAnsi="Calibri" w:cs="Calibri"/>
                <w:sz w:val="24"/>
                <w:szCs w:val="24"/>
                <w:u w:val="single"/>
              </w:rPr>
              <w:t>Key findings from the consultation include:</w:t>
            </w:r>
          </w:p>
          <w:p w14:paraId="06904BC8" w14:textId="5FFE770E" w:rsidR="0097331E" w:rsidRPr="0097331E" w:rsidRDefault="0097331E" w:rsidP="0097331E">
            <w:pPr>
              <w:pStyle w:val="ListParagraph"/>
              <w:numPr>
                <w:ilvl w:val="0"/>
                <w:numId w:val="30"/>
              </w:numPr>
              <w:spacing w:before="40" w:after="40"/>
              <w:rPr>
                <w:rFonts w:ascii="Calibri" w:hAnsi="Calibri" w:cs="Calibri"/>
                <w:sz w:val="24"/>
                <w:szCs w:val="24"/>
              </w:rPr>
            </w:pPr>
            <w:r w:rsidRPr="0097331E">
              <w:rPr>
                <w:rFonts w:ascii="Calibri" w:hAnsi="Calibri" w:cs="Calibri"/>
                <w:sz w:val="24"/>
                <w:szCs w:val="24"/>
              </w:rPr>
              <w:t xml:space="preserve">43% of respondents thought the Fire and life safety design </w:t>
            </w:r>
            <w:r w:rsidR="000D0812">
              <w:rPr>
                <w:rFonts w:ascii="Calibri" w:hAnsi="Calibri" w:cs="Calibri"/>
                <w:sz w:val="24"/>
                <w:szCs w:val="24"/>
              </w:rPr>
              <w:t>G</w:t>
            </w:r>
            <w:r w:rsidRPr="0097331E">
              <w:rPr>
                <w:rFonts w:ascii="Calibri" w:hAnsi="Calibri" w:cs="Calibri"/>
                <w:sz w:val="24"/>
                <w:szCs w:val="24"/>
              </w:rPr>
              <w:t xml:space="preserve">uidance was clear and 16% thought it </w:t>
            </w:r>
            <w:proofErr w:type="gramStart"/>
            <w:r w:rsidRPr="0097331E">
              <w:rPr>
                <w:rFonts w:ascii="Calibri" w:hAnsi="Calibri" w:cs="Calibri"/>
                <w:sz w:val="24"/>
                <w:szCs w:val="24"/>
              </w:rPr>
              <w:t>wasn’t</w:t>
            </w:r>
            <w:proofErr w:type="gramEnd"/>
            <w:r w:rsidRPr="0097331E">
              <w:rPr>
                <w:rFonts w:ascii="Calibri" w:hAnsi="Calibri" w:cs="Calibri"/>
                <w:sz w:val="24"/>
                <w:szCs w:val="24"/>
              </w:rPr>
              <w:t xml:space="preserve"> clear. There were very few recommendations made to improve the clarity of the </w:t>
            </w:r>
            <w:r w:rsidR="000D0812">
              <w:rPr>
                <w:rFonts w:ascii="Calibri" w:hAnsi="Calibri" w:cs="Calibri"/>
                <w:sz w:val="24"/>
                <w:szCs w:val="24"/>
              </w:rPr>
              <w:t>G</w:t>
            </w:r>
            <w:r w:rsidRPr="0097331E">
              <w:rPr>
                <w:rFonts w:ascii="Calibri" w:hAnsi="Calibri" w:cs="Calibri"/>
                <w:sz w:val="24"/>
                <w:szCs w:val="24"/>
              </w:rPr>
              <w:t>uidance.</w:t>
            </w:r>
          </w:p>
          <w:p w14:paraId="68B7F937" w14:textId="2D6FEBED" w:rsidR="0097331E" w:rsidRPr="0097331E" w:rsidRDefault="0097331E" w:rsidP="0097331E">
            <w:pPr>
              <w:pStyle w:val="ListParagraph"/>
              <w:numPr>
                <w:ilvl w:val="0"/>
                <w:numId w:val="30"/>
              </w:numPr>
              <w:spacing w:before="40" w:after="40"/>
              <w:rPr>
                <w:rFonts w:ascii="Calibri" w:hAnsi="Calibri" w:cs="Calibri"/>
                <w:sz w:val="24"/>
                <w:szCs w:val="24"/>
              </w:rPr>
            </w:pPr>
            <w:r w:rsidRPr="0097331E">
              <w:rPr>
                <w:rFonts w:ascii="Calibri" w:hAnsi="Calibri" w:cs="Calibri"/>
                <w:sz w:val="24"/>
                <w:szCs w:val="24"/>
              </w:rPr>
              <w:t xml:space="preserve">40% of respondents thought the Sustainability </w:t>
            </w:r>
            <w:r w:rsidR="000D0812">
              <w:rPr>
                <w:rFonts w:ascii="Calibri" w:hAnsi="Calibri" w:cs="Calibri"/>
                <w:sz w:val="24"/>
                <w:szCs w:val="24"/>
              </w:rPr>
              <w:t>G</w:t>
            </w:r>
            <w:r w:rsidRPr="0097331E">
              <w:rPr>
                <w:rFonts w:ascii="Calibri" w:hAnsi="Calibri" w:cs="Calibri"/>
                <w:sz w:val="24"/>
                <w:szCs w:val="24"/>
              </w:rPr>
              <w:t xml:space="preserve">uidance was clear and 23% thought it </w:t>
            </w:r>
            <w:proofErr w:type="gramStart"/>
            <w:r w:rsidRPr="0097331E">
              <w:rPr>
                <w:rFonts w:ascii="Calibri" w:hAnsi="Calibri" w:cs="Calibri"/>
                <w:sz w:val="24"/>
                <w:szCs w:val="24"/>
              </w:rPr>
              <w:t>wasn’t</w:t>
            </w:r>
            <w:proofErr w:type="gramEnd"/>
            <w:r w:rsidRPr="0097331E">
              <w:rPr>
                <w:rFonts w:ascii="Calibri" w:hAnsi="Calibri" w:cs="Calibri"/>
                <w:sz w:val="24"/>
                <w:szCs w:val="24"/>
              </w:rPr>
              <w:t xml:space="preserve"> clear. Recommendations made by respondents to improve the clarity included: </w:t>
            </w:r>
          </w:p>
          <w:p w14:paraId="74E0B0B5" w14:textId="760AF2CC" w:rsidR="0097331E" w:rsidRPr="0097331E" w:rsidRDefault="0097331E" w:rsidP="0097331E">
            <w:pPr>
              <w:pStyle w:val="ListParagraph"/>
              <w:numPr>
                <w:ilvl w:val="1"/>
                <w:numId w:val="30"/>
              </w:numPr>
              <w:spacing w:before="40" w:after="40"/>
              <w:rPr>
                <w:rFonts w:ascii="Calibri" w:hAnsi="Calibri" w:cs="Calibri"/>
                <w:sz w:val="24"/>
                <w:szCs w:val="24"/>
              </w:rPr>
            </w:pPr>
            <w:r w:rsidRPr="0097331E">
              <w:rPr>
                <w:rFonts w:ascii="Calibri" w:hAnsi="Calibri" w:cs="Calibri"/>
                <w:sz w:val="24"/>
                <w:szCs w:val="24"/>
              </w:rPr>
              <w:t>Sustainability is a broad requirement that should be applied to all aspects of buildings and their design</w:t>
            </w:r>
            <w:r>
              <w:rPr>
                <w:rFonts w:ascii="Calibri" w:hAnsi="Calibri" w:cs="Calibri"/>
                <w:sz w:val="24"/>
                <w:szCs w:val="24"/>
              </w:rPr>
              <w:t>.</w:t>
            </w:r>
          </w:p>
          <w:p w14:paraId="6AE80803" w14:textId="1D118229" w:rsidR="0097331E" w:rsidRPr="0097331E" w:rsidRDefault="0097331E" w:rsidP="0097331E">
            <w:pPr>
              <w:pStyle w:val="ListParagraph"/>
              <w:numPr>
                <w:ilvl w:val="1"/>
                <w:numId w:val="30"/>
              </w:numPr>
              <w:spacing w:before="40" w:after="40"/>
              <w:rPr>
                <w:rFonts w:ascii="Calibri" w:hAnsi="Calibri" w:cs="Calibri"/>
                <w:sz w:val="24"/>
                <w:szCs w:val="24"/>
              </w:rPr>
            </w:pPr>
            <w:r w:rsidRPr="0097331E">
              <w:rPr>
                <w:rFonts w:ascii="Calibri" w:hAnsi="Calibri" w:cs="Calibri"/>
                <w:sz w:val="24"/>
                <w:szCs w:val="24"/>
              </w:rPr>
              <w:t>Sustainability requires a more fundamental change in the approach to education</w:t>
            </w:r>
            <w:r>
              <w:rPr>
                <w:rFonts w:ascii="Calibri" w:hAnsi="Calibri" w:cs="Calibri"/>
                <w:sz w:val="24"/>
                <w:szCs w:val="24"/>
              </w:rPr>
              <w:t>.</w:t>
            </w:r>
          </w:p>
          <w:p w14:paraId="62884975" w14:textId="49C72DB1" w:rsidR="0097331E" w:rsidRPr="0097331E" w:rsidRDefault="0097331E" w:rsidP="0097331E">
            <w:pPr>
              <w:pStyle w:val="ListParagraph"/>
              <w:numPr>
                <w:ilvl w:val="1"/>
                <w:numId w:val="30"/>
              </w:numPr>
              <w:spacing w:before="40" w:after="40"/>
              <w:rPr>
                <w:rFonts w:ascii="Calibri" w:hAnsi="Calibri" w:cs="Calibri"/>
                <w:sz w:val="24"/>
                <w:szCs w:val="24"/>
              </w:rPr>
            </w:pPr>
            <w:r w:rsidRPr="0097331E">
              <w:rPr>
                <w:rFonts w:ascii="Calibri" w:hAnsi="Calibri" w:cs="Calibri"/>
                <w:sz w:val="24"/>
                <w:szCs w:val="24"/>
              </w:rPr>
              <w:t xml:space="preserve">The </w:t>
            </w:r>
            <w:r w:rsidR="000D0812">
              <w:rPr>
                <w:rFonts w:ascii="Calibri" w:hAnsi="Calibri" w:cs="Calibri"/>
                <w:sz w:val="24"/>
                <w:szCs w:val="24"/>
              </w:rPr>
              <w:t>G</w:t>
            </w:r>
            <w:r w:rsidRPr="0097331E">
              <w:rPr>
                <w:rFonts w:ascii="Calibri" w:hAnsi="Calibri" w:cs="Calibri"/>
                <w:sz w:val="24"/>
                <w:szCs w:val="24"/>
              </w:rPr>
              <w:t>uidance should be more specific about the requirements and should go so far as to set targets for the skills and understanding of architects</w:t>
            </w:r>
            <w:r>
              <w:rPr>
                <w:rFonts w:ascii="Calibri" w:hAnsi="Calibri" w:cs="Calibri"/>
                <w:sz w:val="24"/>
                <w:szCs w:val="24"/>
              </w:rPr>
              <w:t>.</w:t>
            </w:r>
          </w:p>
          <w:p w14:paraId="2176FCC6" w14:textId="4C592C7B" w:rsidR="0097331E" w:rsidRPr="0097331E" w:rsidRDefault="0097331E" w:rsidP="0097331E">
            <w:pPr>
              <w:pStyle w:val="ListParagraph"/>
              <w:numPr>
                <w:ilvl w:val="0"/>
                <w:numId w:val="30"/>
              </w:numPr>
              <w:spacing w:before="40" w:after="40"/>
              <w:rPr>
                <w:rFonts w:ascii="Calibri" w:hAnsi="Calibri" w:cs="Calibri"/>
                <w:sz w:val="24"/>
                <w:szCs w:val="24"/>
              </w:rPr>
            </w:pPr>
            <w:r w:rsidRPr="0097331E">
              <w:rPr>
                <w:rFonts w:ascii="Calibri" w:hAnsi="Calibri" w:cs="Calibri"/>
                <w:sz w:val="24"/>
                <w:szCs w:val="24"/>
              </w:rPr>
              <w:lastRenderedPageBreak/>
              <w:t xml:space="preserve">The majority (69%) of respondents agreed that we should begin incorporating the </w:t>
            </w:r>
            <w:r w:rsidR="000D0812">
              <w:rPr>
                <w:rFonts w:ascii="Calibri" w:hAnsi="Calibri" w:cs="Calibri"/>
                <w:sz w:val="24"/>
                <w:szCs w:val="24"/>
              </w:rPr>
              <w:t>G</w:t>
            </w:r>
            <w:r w:rsidRPr="0097331E">
              <w:rPr>
                <w:rFonts w:ascii="Calibri" w:hAnsi="Calibri" w:cs="Calibri"/>
                <w:sz w:val="24"/>
                <w:szCs w:val="24"/>
              </w:rPr>
              <w:t xml:space="preserve">uidance into our prescription process from September 2021. </w:t>
            </w:r>
          </w:p>
          <w:p w14:paraId="6CCC07A7" w14:textId="77777777" w:rsidR="0097331E" w:rsidRPr="0097331E" w:rsidRDefault="0097331E" w:rsidP="0097331E">
            <w:pPr>
              <w:pStyle w:val="ListParagraph"/>
              <w:numPr>
                <w:ilvl w:val="0"/>
                <w:numId w:val="30"/>
              </w:numPr>
              <w:spacing w:before="40" w:after="40"/>
              <w:rPr>
                <w:rFonts w:ascii="Calibri" w:hAnsi="Calibri" w:cs="Calibri"/>
                <w:sz w:val="24"/>
                <w:szCs w:val="24"/>
              </w:rPr>
            </w:pPr>
            <w:r w:rsidRPr="0097331E">
              <w:rPr>
                <w:rFonts w:ascii="Calibri" w:hAnsi="Calibri" w:cs="Calibri"/>
                <w:sz w:val="24"/>
                <w:szCs w:val="24"/>
              </w:rPr>
              <w:t xml:space="preserve">We proposed that we check progress of implementation through our annual monitoring process, and the majority (85%) of respondents agreed with our proposal. </w:t>
            </w:r>
          </w:p>
          <w:p w14:paraId="1BE615B1" w14:textId="033DD3FB" w:rsidR="003B6D8C" w:rsidRDefault="0097331E" w:rsidP="00FC111F">
            <w:pPr>
              <w:spacing w:before="40" w:after="40"/>
              <w:rPr>
                <w:rFonts w:ascii="Calibri" w:hAnsi="Calibri" w:cs="Calibri"/>
                <w:sz w:val="24"/>
                <w:szCs w:val="24"/>
                <w:u w:val="single"/>
              </w:rPr>
            </w:pPr>
            <w:r w:rsidRPr="008D2566">
              <w:rPr>
                <w:rFonts w:ascii="Calibri" w:hAnsi="Calibri" w:cs="Calibri"/>
                <w:sz w:val="24"/>
                <w:szCs w:val="24"/>
              </w:rPr>
              <w:t xml:space="preserve">Full findings are detailed in Chapter Three of </w:t>
            </w:r>
            <w:r w:rsidRPr="008D2566">
              <w:rPr>
                <w:rFonts w:ascii="Calibri" w:hAnsi="Calibri" w:cs="Calibri"/>
                <w:b/>
                <w:bCs/>
                <w:color w:val="4F81BD" w:themeColor="accent1"/>
                <w:sz w:val="24"/>
                <w:szCs w:val="24"/>
              </w:rPr>
              <w:t>Appendix A</w:t>
            </w:r>
            <w:r w:rsidRPr="008D2566">
              <w:rPr>
                <w:rFonts w:ascii="Calibri" w:hAnsi="Calibri" w:cs="Calibri"/>
                <w:sz w:val="24"/>
                <w:szCs w:val="24"/>
              </w:rPr>
              <w:t>.</w:t>
            </w:r>
          </w:p>
          <w:p w14:paraId="3C5826D6" w14:textId="77777777" w:rsidR="0097331E" w:rsidRDefault="0097331E" w:rsidP="00FC111F">
            <w:pPr>
              <w:spacing w:before="40" w:after="40"/>
              <w:rPr>
                <w:rFonts w:ascii="Calibri" w:hAnsi="Calibri" w:cs="Calibri"/>
                <w:sz w:val="24"/>
                <w:szCs w:val="24"/>
                <w:u w:val="single"/>
              </w:rPr>
            </w:pPr>
          </w:p>
          <w:p w14:paraId="34926C31" w14:textId="1CD6A354" w:rsidR="0097331E" w:rsidRDefault="0097331E" w:rsidP="00FC111F">
            <w:pPr>
              <w:spacing w:before="40" w:after="40"/>
              <w:rPr>
                <w:rFonts w:ascii="Calibri" w:hAnsi="Calibri" w:cs="Calibri"/>
                <w:sz w:val="24"/>
                <w:szCs w:val="24"/>
                <w:u w:val="single"/>
              </w:rPr>
            </w:pPr>
            <w:r w:rsidRPr="0008581F">
              <w:rPr>
                <w:rFonts w:ascii="Calibri" w:hAnsi="Calibri" w:cs="Calibri"/>
                <w:sz w:val="24"/>
                <w:szCs w:val="24"/>
                <w:u w:val="single"/>
              </w:rPr>
              <w:t>Recommendations</w:t>
            </w:r>
          </w:p>
        </w:tc>
      </w:tr>
      <w:tr w:rsidR="000C14CB" w:rsidRPr="00F33A7F" w14:paraId="4B8996E3" w14:textId="77777777" w:rsidTr="0008019B">
        <w:tc>
          <w:tcPr>
            <w:tcW w:w="533" w:type="dxa"/>
            <w:shd w:val="clear" w:color="auto" w:fill="auto"/>
          </w:tcPr>
          <w:p w14:paraId="388DFD00" w14:textId="77777777" w:rsidR="000C14CB" w:rsidRPr="00F33A7F" w:rsidRDefault="000C14CB" w:rsidP="00AC4BA1">
            <w:pPr>
              <w:spacing w:before="40"/>
              <w:jc w:val="both"/>
              <w:rPr>
                <w:rFonts w:ascii="Helvetica 65 Medium" w:hAnsi="Helvetica 65 Medium"/>
                <w:sz w:val="24"/>
                <w:szCs w:val="24"/>
              </w:rPr>
            </w:pPr>
          </w:p>
        </w:tc>
        <w:tc>
          <w:tcPr>
            <w:tcW w:w="872" w:type="dxa"/>
            <w:gridSpan w:val="2"/>
            <w:shd w:val="clear" w:color="auto" w:fill="auto"/>
          </w:tcPr>
          <w:p w14:paraId="3A2FCAA2" w14:textId="77777777" w:rsidR="000C14CB" w:rsidRPr="00F33A7F" w:rsidRDefault="000C14CB" w:rsidP="00AC4BA1">
            <w:pPr>
              <w:numPr>
                <w:ilvl w:val="0"/>
                <w:numId w:val="3"/>
              </w:numPr>
              <w:spacing w:before="40" w:after="40"/>
              <w:jc w:val="both"/>
              <w:rPr>
                <w:rFonts w:ascii="Calibri" w:hAnsi="Calibri" w:cs="Calibri"/>
                <w:b/>
                <w:sz w:val="24"/>
                <w:szCs w:val="24"/>
              </w:rPr>
            </w:pPr>
          </w:p>
        </w:tc>
        <w:tc>
          <w:tcPr>
            <w:tcW w:w="8233" w:type="dxa"/>
            <w:shd w:val="clear" w:color="auto" w:fill="auto"/>
          </w:tcPr>
          <w:p w14:paraId="2684C9DC" w14:textId="14A68659" w:rsidR="000C14CB" w:rsidRDefault="00A3734E" w:rsidP="00FC111F">
            <w:pPr>
              <w:spacing w:before="40" w:after="40"/>
              <w:rPr>
                <w:rFonts w:ascii="Calibri" w:hAnsi="Calibri" w:cs="Calibri"/>
                <w:sz w:val="24"/>
                <w:szCs w:val="24"/>
              </w:rPr>
            </w:pPr>
            <w:r>
              <w:rPr>
                <w:rFonts w:ascii="Calibri" w:hAnsi="Calibri" w:cs="Calibri"/>
                <w:sz w:val="24"/>
                <w:szCs w:val="24"/>
              </w:rPr>
              <w:t>The two Guidance documents have</w:t>
            </w:r>
            <w:r w:rsidR="009512C1">
              <w:rPr>
                <w:rFonts w:ascii="Calibri" w:hAnsi="Calibri" w:cs="Calibri"/>
                <w:sz w:val="24"/>
                <w:szCs w:val="24"/>
              </w:rPr>
              <w:t xml:space="preserve"> been updated to </w:t>
            </w:r>
            <w:r w:rsidR="0097331E">
              <w:rPr>
                <w:rFonts w:ascii="Calibri" w:hAnsi="Calibri" w:cs="Calibri"/>
                <w:sz w:val="24"/>
                <w:szCs w:val="24"/>
              </w:rPr>
              <w:t xml:space="preserve">address </w:t>
            </w:r>
            <w:r w:rsidR="009512C1">
              <w:rPr>
                <w:rFonts w:ascii="Calibri" w:hAnsi="Calibri" w:cs="Calibri"/>
                <w:sz w:val="24"/>
                <w:szCs w:val="24"/>
              </w:rPr>
              <w:t xml:space="preserve">some of the suggestions </w:t>
            </w:r>
            <w:r w:rsidR="0097331E">
              <w:rPr>
                <w:rFonts w:ascii="Calibri" w:hAnsi="Calibri" w:cs="Calibri"/>
                <w:sz w:val="24"/>
                <w:szCs w:val="24"/>
              </w:rPr>
              <w:t>made by respondents</w:t>
            </w:r>
            <w:r w:rsidR="009512C1">
              <w:rPr>
                <w:rFonts w:ascii="Calibri" w:hAnsi="Calibri" w:cs="Calibri"/>
                <w:sz w:val="24"/>
                <w:szCs w:val="24"/>
              </w:rPr>
              <w:t xml:space="preserve">. </w:t>
            </w:r>
            <w:r w:rsidR="0097331E" w:rsidRPr="008D2566">
              <w:rPr>
                <w:rFonts w:ascii="Calibri" w:hAnsi="Calibri" w:cs="Calibri"/>
                <w:sz w:val="24"/>
                <w:szCs w:val="24"/>
              </w:rPr>
              <w:t xml:space="preserve">In Chapter Four of </w:t>
            </w:r>
            <w:r w:rsidR="0097331E" w:rsidRPr="008D2566">
              <w:rPr>
                <w:rFonts w:ascii="Calibri" w:hAnsi="Calibri" w:cs="Calibri"/>
                <w:b/>
                <w:bCs/>
                <w:color w:val="4F81BD" w:themeColor="accent1"/>
                <w:sz w:val="24"/>
                <w:szCs w:val="24"/>
              </w:rPr>
              <w:t xml:space="preserve">Appendix </w:t>
            </w:r>
            <w:proofErr w:type="gramStart"/>
            <w:r w:rsidR="0097331E" w:rsidRPr="008D2566">
              <w:rPr>
                <w:rFonts w:ascii="Calibri" w:hAnsi="Calibri" w:cs="Calibri"/>
                <w:b/>
                <w:bCs/>
                <w:color w:val="4F81BD" w:themeColor="accent1"/>
                <w:sz w:val="24"/>
                <w:szCs w:val="24"/>
              </w:rPr>
              <w:t>A</w:t>
            </w:r>
            <w:proofErr w:type="gramEnd"/>
            <w:r w:rsidR="0097331E" w:rsidRPr="008D2566">
              <w:rPr>
                <w:rFonts w:ascii="Calibri" w:hAnsi="Calibri" w:cs="Calibri"/>
                <w:sz w:val="24"/>
                <w:szCs w:val="24"/>
              </w:rPr>
              <w:t xml:space="preserve"> we explain which suggestions we are adopting, and offer a rationale on those that we are not.  </w:t>
            </w:r>
            <w:r w:rsidR="00854899">
              <w:rPr>
                <w:rFonts w:ascii="Calibri" w:hAnsi="Calibri" w:cs="Calibri"/>
                <w:sz w:val="24"/>
                <w:szCs w:val="24"/>
              </w:rPr>
              <w:t xml:space="preserve">While there may never be complete unanimity over the wording of such guidance on what are diverse areas of architectural practice, the Board can have confidence that there is a general understanding of the content from those responsible for delivering it. </w:t>
            </w:r>
          </w:p>
          <w:p w14:paraId="26314750" w14:textId="3405105A" w:rsidR="00D9050B" w:rsidRPr="00FC111F" w:rsidRDefault="00D9050B" w:rsidP="00FC111F">
            <w:pPr>
              <w:spacing w:before="40" w:after="40"/>
              <w:rPr>
                <w:rFonts w:ascii="Calibri" w:hAnsi="Calibri" w:cs="Calibri"/>
                <w:sz w:val="24"/>
                <w:szCs w:val="24"/>
              </w:rPr>
            </w:pPr>
          </w:p>
        </w:tc>
      </w:tr>
      <w:tr w:rsidR="004C5569" w:rsidRPr="00F33A7F" w14:paraId="5A82E465" w14:textId="77777777" w:rsidTr="0008019B">
        <w:tc>
          <w:tcPr>
            <w:tcW w:w="533" w:type="dxa"/>
            <w:shd w:val="clear" w:color="auto" w:fill="auto"/>
          </w:tcPr>
          <w:p w14:paraId="786E5F99" w14:textId="77777777" w:rsidR="004C5569" w:rsidRPr="00F33A7F" w:rsidRDefault="004C5569" w:rsidP="00AC4BA1">
            <w:pPr>
              <w:spacing w:before="40"/>
              <w:jc w:val="both"/>
              <w:rPr>
                <w:rFonts w:ascii="Helvetica 65 Medium" w:hAnsi="Helvetica 65 Medium"/>
                <w:sz w:val="24"/>
                <w:szCs w:val="24"/>
              </w:rPr>
            </w:pPr>
          </w:p>
        </w:tc>
        <w:tc>
          <w:tcPr>
            <w:tcW w:w="872" w:type="dxa"/>
            <w:gridSpan w:val="2"/>
            <w:shd w:val="clear" w:color="auto" w:fill="auto"/>
          </w:tcPr>
          <w:p w14:paraId="3D566851" w14:textId="77777777" w:rsidR="004C5569" w:rsidRPr="00F33A7F" w:rsidRDefault="004C5569" w:rsidP="00AC4BA1">
            <w:pPr>
              <w:numPr>
                <w:ilvl w:val="0"/>
                <w:numId w:val="3"/>
              </w:numPr>
              <w:spacing w:before="40" w:after="40"/>
              <w:jc w:val="both"/>
              <w:rPr>
                <w:rFonts w:ascii="Calibri" w:hAnsi="Calibri" w:cs="Calibri"/>
                <w:b/>
                <w:sz w:val="24"/>
                <w:szCs w:val="24"/>
              </w:rPr>
            </w:pPr>
          </w:p>
        </w:tc>
        <w:tc>
          <w:tcPr>
            <w:tcW w:w="8233" w:type="dxa"/>
            <w:shd w:val="clear" w:color="auto" w:fill="auto"/>
          </w:tcPr>
          <w:p w14:paraId="36ECCF75" w14:textId="3B7E6997" w:rsidR="00B470EA" w:rsidRDefault="00B470EA" w:rsidP="00B470EA">
            <w:pPr>
              <w:spacing w:before="40" w:after="40"/>
              <w:rPr>
                <w:rFonts w:ascii="Calibri" w:hAnsi="Calibri" w:cs="Calibri"/>
                <w:sz w:val="24"/>
                <w:szCs w:val="24"/>
              </w:rPr>
            </w:pPr>
            <w:r>
              <w:rPr>
                <w:rFonts w:ascii="Calibri" w:hAnsi="Calibri" w:cs="Calibri"/>
                <w:sz w:val="24"/>
                <w:szCs w:val="24"/>
              </w:rPr>
              <w:t xml:space="preserve">We have </w:t>
            </w:r>
            <w:r w:rsidR="0008581F">
              <w:rPr>
                <w:rFonts w:ascii="Calibri" w:hAnsi="Calibri" w:cs="Calibri"/>
                <w:sz w:val="24"/>
                <w:szCs w:val="24"/>
              </w:rPr>
              <w:t xml:space="preserve">heard the concerns of the institutions as to the challenges they will face in delivering on the content of this Guidance. Because of that we are recommending an approach that will require a commitment from the </w:t>
            </w:r>
            <w:proofErr w:type="gramStart"/>
            <w:r w:rsidR="0008581F">
              <w:rPr>
                <w:rFonts w:ascii="Calibri" w:hAnsi="Calibri" w:cs="Calibri"/>
                <w:sz w:val="24"/>
                <w:szCs w:val="24"/>
              </w:rPr>
              <w:t>institutions, but</w:t>
            </w:r>
            <w:proofErr w:type="gramEnd"/>
            <w:r w:rsidR="0008581F">
              <w:rPr>
                <w:rFonts w:ascii="Calibri" w:hAnsi="Calibri" w:cs="Calibri"/>
                <w:sz w:val="24"/>
                <w:szCs w:val="24"/>
              </w:rPr>
              <w:t xml:space="preserve"> provide them with the flexibility </w:t>
            </w:r>
            <w:r w:rsidR="00F114CD">
              <w:rPr>
                <w:rFonts w:ascii="Calibri" w:hAnsi="Calibri" w:cs="Calibri"/>
                <w:sz w:val="24"/>
                <w:szCs w:val="24"/>
              </w:rPr>
              <w:t xml:space="preserve">to deliver in a way that is proportionate to their current capabilities. </w:t>
            </w:r>
            <w:r w:rsidR="00A3734E">
              <w:rPr>
                <w:rFonts w:ascii="Calibri" w:hAnsi="Calibri" w:cs="Calibri"/>
                <w:sz w:val="24"/>
                <w:szCs w:val="24"/>
              </w:rPr>
              <w:t xml:space="preserve">That approach is to allow institutions time to plan for how they implement the </w:t>
            </w:r>
            <w:proofErr w:type="gramStart"/>
            <w:r w:rsidR="006061C8">
              <w:rPr>
                <w:rFonts w:ascii="Calibri" w:hAnsi="Calibri" w:cs="Calibri"/>
                <w:sz w:val="24"/>
                <w:szCs w:val="24"/>
              </w:rPr>
              <w:t>G</w:t>
            </w:r>
            <w:r w:rsidR="00A3734E">
              <w:rPr>
                <w:rFonts w:ascii="Calibri" w:hAnsi="Calibri" w:cs="Calibri"/>
                <w:sz w:val="24"/>
                <w:szCs w:val="24"/>
              </w:rPr>
              <w:t>uidance, and</w:t>
            </w:r>
            <w:proofErr w:type="gramEnd"/>
            <w:r w:rsidR="00A3734E">
              <w:rPr>
                <w:rFonts w:ascii="Calibri" w:hAnsi="Calibri" w:cs="Calibri"/>
                <w:sz w:val="24"/>
                <w:szCs w:val="24"/>
              </w:rPr>
              <w:t xml:space="preserve"> monitor the progress of implementation through our existing </w:t>
            </w:r>
            <w:r w:rsidR="00A3734E" w:rsidRPr="003443F1">
              <w:rPr>
                <w:rFonts w:ascii="Calibri" w:hAnsi="Calibri" w:cs="Calibri"/>
                <w:sz w:val="24"/>
                <w:szCs w:val="24"/>
              </w:rPr>
              <w:t>prescription processes</w:t>
            </w:r>
            <w:r w:rsidR="00A3734E">
              <w:rPr>
                <w:rFonts w:ascii="Calibri" w:hAnsi="Calibri" w:cs="Calibri"/>
                <w:sz w:val="24"/>
                <w:szCs w:val="24"/>
              </w:rPr>
              <w:t>.</w:t>
            </w:r>
            <w:r w:rsidR="008D2566">
              <w:rPr>
                <w:rFonts w:ascii="Calibri" w:hAnsi="Calibri" w:cs="Calibri"/>
                <w:sz w:val="24"/>
                <w:szCs w:val="24"/>
              </w:rPr>
              <w:t xml:space="preserve"> While the Guidance will be effective once we have had the opportunity to publish and send to institutions, we anticipate that the early responses we will receive will be limited to an explanation of the arrangements currently in place, and what the plans are to achieve full compliance.</w:t>
            </w:r>
          </w:p>
          <w:p w14:paraId="35DF81CA" w14:textId="77777777" w:rsidR="004C5569" w:rsidRDefault="004C5569" w:rsidP="00B71473">
            <w:pPr>
              <w:spacing w:before="40" w:after="40"/>
              <w:rPr>
                <w:rFonts w:ascii="Calibri" w:hAnsi="Calibri" w:cs="Calibri"/>
                <w:sz w:val="24"/>
                <w:szCs w:val="24"/>
              </w:rPr>
            </w:pPr>
          </w:p>
        </w:tc>
      </w:tr>
      <w:tr w:rsidR="00A3734E" w:rsidRPr="00F33A7F" w14:paraId="62CA63B9" w14:textId="77777777" w:rsidTr="0008019B">
        <w:tc>
          <w:tcPr>
            <w:tcW w:w="533" w:type="dxa"/>
            <w:shd w:val="clear" w:color="auto" w:fill="auto"/>
          </w:tcPr>
          <w:p w14:paraId="4CBF9535" w14:textId="77777777" w:rsidR="00A3734E" w:rsidRPr="00F33A7F" w:rsidRDefault="00A3734E" w:rsidP="00AC4BA1">
            <w:pPr>
              <w:spacing w:before="40"/>
              <w:jc w:val="both"/>
              <w:rPr>
                <w:rFonts w:ascii="Helvetica 65 Medium" w:hAnsi="Helvetica 65 Medium"/>
                <w:sz w:val="24"/>
                <w:szCs w:val="24"/>
              </w:rPr>
            </w:pPr>
          </w:p>
        </w:tc>
        <w:tc>
          <w:tcPr>
            <w:tcW w:w="872" w:type="dxa"/>
            <w:gridSpan w:val="2"/>
            <w:shd w:val="clear" w:color="auto" w:fill="auto"/>
          </w:tcPr>
          <w:p w14:paraId="6CCC00B2" w14:textId="77777777" w:rsidR="00A3734E" w:rsidRPr="00F33A7F" w:rsidRDefault="00A3734E" w:rsidP="00AC4BA1">
            <w:pPr>
              <w:numPr>
                <w:ilvl w:val="0"/>
                <w:numId w:val="3"/>
              </w:numPr>
              <w:spacing w:before="40" w:after="40"/>
              <w:jc w:val="both"/>
              <w:rPr>
                <w:rFonts w:ascii="Calibri" w:hAnsi="Calibri" w:cs="Calibri"/>
                <w:b/>
                <w:sz w:val="24"/>
                <w:szCs w:val="24"/>
              </w:rPr>
            </w:pPr>
          </w:p>
        </w:tc>
        <w:tc>
          <w:tcPr>
            <w:tcW w:w="8233" w:type="dxa"/>
            <w:shd w:val="clear" w:color="auto" w:fill="auto"/>
          </w:tcPr>
          <w:p w14:paraId="02C2F823" w14:textId="6620CA20" w:rsidR="00A3734E" w:rsidRDefault="00A3734E" w:rsidP="00B470EA">
            <w:pPr>
              <w:spacing w:before="40" w:after="40"/>
              <w:rPr>
                <w:rFonts w:ascii="Calibri" w:hAnsi="Calibri" w:cs="Calibri"/>
                <w:sz w:val="24"/>
                <w:szCs w:val="24"/>
              </w:rPr>
            </w:pPr>
            <w:r>
              <w:rPr>
                <w:rFonts w:ascii="Calibri" w:hAnsi="Calibri" w:cs="Calibri"/>
                <w:sz w:val="24"/>
                <w:szCs w:val="24"/>
              </w:rPr>
              <w:t xml:space="preserve">While ARB will retain regulatory powers to deal with those institutions that are unable or unwilling to deliver the content contained within the Guidance, the purpose of this policy is to encourage consistent, high-quality courses that meet the Criteria in these important areas. We believe that this can best be delivered through the </w:t>
            </w:r>
            <w:r w:rsidR="005B04D9">
              <w:rPr>
                <w:rFonts w:ascii="Calibri" w:hAnsi="Calibri" w:cs="Calibri"/>
                <w:sz w:val="24"/>
                <w:szCs w:val="24"/>
              </w:rPr>
              <w:t>existing prescription process, where institutions demonstrate compliance through their annual monitoring returns, and applications for new and renewed qualifications.</w:t>
            </w:r>
          </w:p>
          <w:p w14:paraId="6943A2D3" w14:textId="01F3D870" w:rsidR="00A3734E" w:rsidRDefault="00A3734E" w:rsidP="00B470EA">
            <w:pPr>
              <w:spacing w:before="40" w:after="40"/>
              <w:rPr>
                <w:rFonts w:ascii="Calibri" w:hAnsi="Calibri" w:cs="Calibri"/>
                <w:sz w:val="24"/>
                <w:szCs w:val="24"/>
              </w:rPr>
            </w:pPr>
          </w:p>
        </w:tc>
      </w:tr>
      <w:tr w:rsidR="00A55890" w:rsidRPr="00F33A7F" w14:paraId="1C758B16" w14:textId="77777777" w:rsidTr="0008019B">
        <w:tc>
          <w:tcPr>
            <w:tcW w:w="533" w:type="dxa"/>
            <w:vMerge w:val="restart"/>
            <w:shd w:val="clear" w:color="auto" w:fill="auto"/>
          </w:tcPr>
          <w:p w14:paraId="5DEF1CA0" w14:textId="48D24A2F" w:rsidR="00A55890" w:rsidRPr="00F63BDD" w:rsidRDefault="00EF22B0" w:rsidP="00AC4BA1">
            <w:pPr>
              <w:spacing w:before="40"/>
              <w:jc w:val="both"/>
              <w:rPr>
                <w:rFonts w:ascii="Calibri" w:hAnsi="Calibri" w:cs="Calibri"/>
                <w:b/>
                <w:color w:val="4F81BD"/>
                <w:sz w:val="24"/>
                <w:szCs w:val="24"/>
              </w:rPr>
            </w:pPr>
            <w:r>
              <w:rPr>
                <w:rFonts w:ascii="Calibri" w:hAnsi="Calibri" w:cs="Calibri"/>
                <w:b/>
                <w:color w:val="4F81BD"/>
                <w:sz w:val="24"/>
                <w:szCs w:val="24"/>
              </w:rPr>
              <w:t>6</w:t>
            </w:r>
            <w:r w:rsidR="00A55890" w:rsidRPr="00F63BDD">
              <w:rPr>
                <w:rFonts w:ascii="Calibri" w:hAnsi="Calibri" w:cs="Calibri"/>
                <w:b/>
                <w:color w:val="4F81BD"/>
                <w:sz w:val="24"/>
                <w:szCs w:val="24"/>
              </w:rPr>
              <w:t xml:space="preserve">. </w:t>
            </w:r>
          </w:p>
        </w:tc>
        <w:tc>
          <w:tcPr>
            <w:tcW w:w="9105" w:type="dxa"/>
            <w:gridSpan w:val="3"/>
            <w:shd w:val="clear" w:color="auto" w:fill="auto"/>
          </w:tcPr>
          <w:p w14:paraId="392A07AF" w14:textId="77777777" w:rsidR="00A55890" w:rsidRPr="00F63BDD" w:rsidRDefault="00A55890" w:rsidP="00AC4BA1">
            <w:pPr>
              <w:spacing w:before="40" w:after="40"/>
              <w:jc w:val="both"/>
              <w:rPr>
                <w:rFonts w:ascii="Calibri" w:hAnsi="Calibri" w:cs="Calibri"/>
                <w:b/>
                <w:color w:val="4F81BD"/>
                <w:sz w:val="24"/>
                <w:szCs w:val="24"/>
              </w:rPr>
            </w:pPr>
            <w:r w:rsidRPr="00F63BDD">
              <w:rPr>
                <w:rFonts w:ascii="Calibri" w:hAnsi="Calibri" w:cs="Calibri"/>
                <w:b/>
                <w:color w:val="4F81BD"/>
                <w:sz w:val="24"/>
                <w:szCs w:val="24"/>
              </w:rPr>
              <w:t>Resource Implications</w:t>
            </w:r>
          </w:p>
        </w:tc>
      </w:tr>
      <w:tr w:rsidR="00A55890" w:rsidRPr="00F33A7F" w14:paraId="7EB14F5A" w14:textId="77777777" w:rsidTr="0008581F">
        <w:tc>
          <w:tcPr>
            <w:tcW w:w="533" w:type="dxa"/>
            <w:vMerge/>
            <w:shd w:val="clear" w:color="auto" w:fill="auto"/>
          </w:tcPr>
          <w:p w14:paraId="64657B8B" w14:textId="77777777" w:rsidR="00A55890" w:rsidRPr="00F33A7F" w:rsidRDefault="00A55890" w:rsidP="00AC4BA1">
            <w:pPr>
              <w:spacing w:before="40"/>
              <w:jc w:val="both"/>
              <w:rPr>
                <w:rFonts w:ascii="Helvetica 65 Medium" w:hAnsi="Helvetica 65 Medium"/>
                <w:i/>
                <w:sz w:val="24"/>
                <w:szCs w:val="24"/>
              </w:rPr>
            </w:pPr>
          </w:p>
        </w:tc>
        <w:tc>
          <w:tcPr>
            <w:tcW w:w="9105" w:type="dxa"/>
            <w:gridSpan w:val="3"/>
            <w:shd w:val="clear" w:color="auto" w:fill="auto"/>
          </w:tcPr>
          <w:p w14:paraId="24417850" w14:textId="59402902" w:rsidR="00A55890" w:rsidRPr="00F33A7F" w:rsidRDefault="008D2566" w:rsidP="0091331B">
            <w:pPr>
              <w:spacing w:before="40" w:after="40"/>
              <w:jc w:val="both"/>
              <w:rPr>
                <w:rFonts w:ascii="Calibri" w:hAnsi="Calibri" w:cs="Calibri"/>
                <w:sz w:val="24"/>
                <w:szCs w:val="24"/>
              </w:rPr>
            </w:pPr>
            <w:r>
              <w:rPr>
                <w:rFonts w:ascii="Calibri" w:hAnsi="Calibri" w:cs="Calibri"/>
                <w:sz w:val="24"/>
                <w:szCs w:val="24"/>
              </w:rPr>
              <w:t xml:space="preserve">Consideration of this additional material will inevitably lead to a greater workload for </w:t>
            </w:r>
            <w:r w:rsidR="005B04D9">
              <w:rPr>
                <w:rFonts w:ascii="Calibri" w:hAnsi="Calibri" w:cs="Calibri"/>
                <w:sz w:val="24"/>
                <w:szCs w:val="24"/>
              </w:rPr>
              <w:t xml:space="preserve">the Executive, Prescription </w:t>
            </w:r>
            <w:proofErr w:type="gramStart"/>
            <w:r w:rsidR="005B04D9">
              <w:rPr>
                <w:rFonts w:ascii="Calibri" w:hAnsi="Calibri" w:cs="Calibri"/>
                <w:sz w:val="24"/>
                <w:szCs w:val="24"/>
              </w:rPr>
              <w:t>Committee</w:t>
            </w:r>
            <w:proofErr w:type="gramEnd"/>
            <w:r w:rsidR="005B04D9">
              <w:rPr>
                <w:rFonts w:ascii="Calibri" w:hAnsi="Calibri" w:cs="Calibri"/>
                <w:sz w:val="24"/>
                <w:szCs w:val="24"/>
              </w:rPr>
              <w:t xml:space="preserve"> and the Board. We anticipate in the first year for that impact to be </w:t>
            </w:r>
            <w:proofErr w:type="gramStart"/>
            <w:r w:rsidR="005B04D9">
              <w:rPr>
                <w:rFonts w:ascii="Calibri" w:hAnsi="Calibri" w:cs="Calibri"/>
                <w:sz w:val="24"/>
                <w:szCs w:val="24"/>
              </w:rPr>
              <w:t>negligible, and</w:t>
            </w:r>
            <w:proofErr w:type="gramEnd"/>
            <w:r w:rsidR="005B04D9">
              <w:rPr>
                <w:rFonts w:ascii="Calibri" w:hAnsi="Calibri" w:cs="Calibri"/>
                <w:sz w:val="24"/>
                <w:szCs w:val="24"/>
              </w:rPr>
              <w:t xml:space="preserve"> are currently considering wider reforms of the prescription process that will minimise the resource required to consider annual monitoring and applications for new and renewed qualifications in future years.</w:t>
            </w:r>
          </w:p>
        </w:tc>
      </w:tr>
      <w:tr w:rsidR="00A55890" w:rsidRPr="00F33A7F" w14:paraId="3E30D8B1" w14:textId="77777777" w:rsidTr="0008581F">
        <w:tc>
          <w:tcPr>
            <w:tcW w:w="533" w:type="dxa"/>
            <w:shd w:val="clear" w:color="auto" w:fill="auto"/>
          </w:tcPr>
          <w:p w14:paraId="733E3C09" w14:textId="77777777" w:rsidR="00A55890" w:rsidRPr="00F33A7F" w:rsidRDefault="00A55890" w:rsidP="00AC4BA1">
            <w:pPr>
              <w:spacing w:before="40"/>
              <w:jc w:val="both"/>
              <w:rPr>
                <w:rFonts w:ascii="Helvetica 65 Medium" w:hAnsi="Helvetica 65 Medium"/>
                <w:i/>
                <w:sz w:val="24"/>
                <w:szCs w:val="24"/>
              </w:rPr>
            </w:pPr>
          </w:p>
        </w:tc>
        <w:tc>
          <w:tcPr>
            <w:tcW w:w="9105" w:type="dxa"/>
            <w:gridSpan w:val="3"/>
            <w:shd w:val="clear" w:color="auto" w:fill="auto"/>
          </w:tcPr>
          <w:p w14:paraId="3592075A" w14:textId="77777777" w:rsidR="00A55890" w:rsidRPr="00F33A7F" w:rsidRDefault="00A55890" w:rsidP="00AC4BA1">
            <w:pPr>
              <w:spacing w:before="40" w:after="40"/>
              <w:jc w:val="both"/>
              <w:rPr>
                <w:rFonts w:ascii="Calibri" w:hAnsi="Calibri" w:cs="Calibri"/>
                <w:sz w:val="24"/>
                <w:szCs w:val="24"/>
              </w:rPr>
            </w:pPr>
          </w:p>
        </w:tc>
      </w:tr>
      <w:tr w:rsidR="00BD2C92" w:rsidRPr="00F33A7F" w14:paraId="56817D3A" w14:textId="77777777" w:rsidTr="0008581F">
        <w:tc>
          <w:tcPr>
            <w:tcW w:w="533" w:type="dxa"/>
            <w:shd w:val="clear" w:color="auto" w:fill="auto"/>
          </w:tcPr>
          <w:p w14:paraId="72F5E5B3" w14:textId="096A2BE6" w:rsidR="00BD2C92" w:rsidRPr="00BD2C92" w:rsidRDefault="00EF22B0" w:rsidP="00AC4BA1">
            <w:pPr>
              <w:spacing w:before="40"/>
              <w:jc w:val="both"/>
              <w:rPr>
                <w:rFonts w:ascii="Helvetica 65 Medium" w:hAnsi="Helvetica 65 Medium"/>
                <w:b/>
                <w:sz w:val="24"/>
                <w:szCs w:val="24"/>
              </w:rPr>
            </w:pPr>
            <w:r>
              <w:rPr>
                <w:rFonts w:ascii="Helvetica 65 Medium" w:hAnsi="Helvetica 65 Medium"/>
                <w:b/>
                <w:color w:val="0070C0"/>
                <w:sz w:val="24"/>
                <w:szCs w:val="24"/>
              </w:rPr>
              <w:lastRenderedPageBreak/>
              <w:t>7</w:t>
            </w:r>
            <w:r w:rsidR="00BD2C92">
              <w:rPr>
                <w:rFonts w:ascii="Helvetica 65 Medium" w:hAnsi="Helvetica 65 Medium"/>
                <w:b/>
                <w:color w:val="0070C0"/>
                <w:sz w:val="24"/>
                <w:szCs w:val="24"/>
              </w:rPr>
              <w:t>.</w:t>
            </w:r>
          </w:p>
        </w:tc>
        <w:tc>
          <w:tcPr>
            <w:tcW w:w="9105" w:type="dxa"/>
            <w:gridSpan w:val="3"/>
            <w:shd w:val="clear" w:color="auto" w:fill="auto"/>
          </w:tcPr>
          <w:tbl>
            <w:tblPr>
              <w:tblW w:w="0" w:type="auto"/>
              <w:tblLook w:val="01E0" w:firstRow="1" w:lastRow="1" w:firstColumn="1" w:lastColumn="1" w:noHBand="0" w:noVBand="0"/>
            </w:tblPr>
            <w:tblGrid>
              <w:gridCol w:w="8889"/>
            </w:tblGrid>
            <w:tr w:rsidR="00BD2C92" w:rsidRPr="00F63BDD" w14:paraId="0812B36E" w14:textId="77777777" w:rsidTr="002F5DBF">
              <w:tc>
                <w:tcPr>
                  <w:tcW w:w="9104" w:type="dxa"/>
                  <w:shd w:val="clear" w:color="auto" w:fill="auto"/>
                </w:tcPr>
                <w:p w14:paraId="5E79F757" w14:textId="77777777" w:rsidR="00BD2C92" w:rsidRPr="00F63BDD" w:rsidRDefault="00BD2C92" w:rsidP="00AC4BA1">
                  <w:pPr>
                    <w:spacing w:before="40" w:after="40"/>
                    <w:ind w:left="-75"/>
                    <w:jc w:val="both"/>
                    <w:rPr>
                      <w:rFonts w:ascii="Calibri" w:hAnsi="Calibri" w:cs="Calibri"/>
                      <w:b/>
                      <w:color w:val="4F81BD"/>
                      <w:sz w:val="24"/>
                      <w:szCs w:val="24"/>
                    </w:rPr>
                  </w:pPr>
                  <w:r w:rsidRPr="00F63BDD">
                    <w:rPr>
                      <w:rFonts w:ascii="Calibri" w:hAnsi="Calibri" w:cs="Calibri"/>
                      <w:b/>
                      <w:color w:val="4F81BD"/>
                      <w:sz w:val="24"/>
                      <w:szCs w:val="24"/>
                    </w:rPr>
                    <w:t>Risk Implications</w:t>
                  </w:r>
                </w:p>
              </w:tc>
            </w:tr>
            <w:tr w:rsidR="00BD2C92" w:rsidRPr="0023608A" w14:paraId="56498A59" w14:textId="77777777" w:rsidTr="002F5DBF">
              <w:tc>
                <w:tcPr>
                  <w:tcW w:w="9104" w:type="dxa"/>
                  <w:shd w:val="clear" w:color="auto" w:fill="auto"/>
                </w:tcPr>
                <w:p w14:paraId="797EEFC4" w14:textId="37F7FFF8" w:rsidR="00941C2F" w:rsidRDefault="004C5569" w:rsidP="004C5569">
                  <w:pPr>
                    <w:spacing w:before="40" w:after="40"/>
                    <w:rPr>
                      <w:rFonts w:ascii="Calibri" w:hAnsi="Calibri" w:cs="Calibri"/>
                      <w:sz w:val="24"/>
                      <w:szCs w:val="24"/>
                    </w:rPr>
                  </w:pPr>
                  <w:r>
                    <w:rPr>
                      <w:rFonts w:ascii="Calibri" w:hAnsi="Calibri" w:cs="Calibri"/>
                      <w:sz w:val="24"/>
                      <w:szCs w:val="24"/>
                    </w:rPr>
                    <w:t xml:space="preserve">This remains a </w:t>
                  </w:r>
                  <w:r w:rsidR="00A55218">
                    <w:rPr>
                      <w:rFonts w:ascii="Calibri" w:hAnsi="Calibri" w:cs="Calibri"/>
                      <w:sz w:val="24"/>
                      <w:szCs w:val="24"/>
                    </w:rPr>
                    <w:t>high-profile</w:t>
                  </w:r>
                  <w:r>
                    <w:rPr>
                      <w:rFonts w:ascii="Calibri" w:hAnsi="Calibri" w:cs="Calibri"/>
                      <w:sz w:val="24"/>
                      <w:szCs w:val="24"/>
                    </w:rPr>
                    <w:t xml:space="preserve"> area of significant risk. There will be a great deal of scrutiny over any changes to regulatory policy. The </w:t>
                  </w:r>
                  <w:r w:rsidR="000D0812">
                    <w:rPr>
                      <w:rFonts w:ascii="Calibri" w:hAnsi="Calibri" w:cs="Calibri"/>
                      <w:sz w:val="24"/>
                      <w:szCs w:val="24"/>
                    </w:rPr>
                    <w:t>G</w:t>
                  </w:r>
                  <w:r w:rsidR="001800D9">
                    <w:rPr>
                      <w:rFonts w:ascii="Calibri" w:hAnsi="Calibri" w:cs="Calibri"/>
                      <w:sz w:val="24"/>
                      <w:szCs w:val="24"/>
                    </w:rPr>
                    <w:t>uidance must be capable of making a positive difference to the consistency of competence of architects entering the Register, but also be deliverable by the institutions. Placing requirements on institutions that fall outside the published Criteria will leave ARB vulnerable to challenge.</w:t>
                  </w:r>
                  <w:r w:rsidR="00FC111F">
                    <w:rPr>
                      <w:rFonts w:ascii="Calibri" w:hAnsi="Calibri" w:cs="Calibri"/>
                      <w:sz w:val="24"/>
                      <w:szCs w:val="24"/>
                    </w:rPr>
                    <w:br/>
                  </w:r>
                </w:p>
                <w:p w14:paraId="15C11C9B" w14:textId="2877853E" w:rsidR="00941C2F" w:rsidRDefault="00941C2F" w:rsidP="004C5569">
                  <w:pPr>
                    <w:spacing w:before="40" w:after="40"/>
                    <w:rPr>
                      <w:rFonts w:ascii="Calibri" w:hAnsi="Calibri" w:cs="Calibri"/>
                      <w:sz w:val="24"/>
                      <w:szCs w:val="24"/>
                    </w:rPr>
                  </w:pPr>
                  <w:r>
                    <w:rPr>
                      <w:rFonts w:ascii="Calibri" w:hAnsi="Calibri" w:cs="Calibri"/>
                      <w:sz w:val="24"/>
                      <w:szCs w:val="24"/>
                    </w:rPr>
                    <w:t xml:space="preserve">These risks will be mitigated by the Board being able to </w:t>
                  </w:r>
                  <w:r w:rsidR="00854899">
                    <w:rPr>
                      <w:rFonts w:ascii="Calibri" w:hAnsi="Calibri" w:cs="Calibri"/>
                      <w:sz w:val="24"/>
                      <w:szCs w:val="24"/>
                    </w:rPr>
                    <w:t>show</w:t>
                  </w:r>
                  <w:r>
                    <w:rPr>
                      <w:rFonts w:ascii="Calibri" w:hAnsi="Calibri" w:cs="Calibri"/>
                      <w:sz w:val="24"/>
                      <w:szCs w:val="24"/>
                    </w:rPr>
                    <w:t xml:space="preserve"> that it has </w:t>
                  </w:r>
                  <w:proofErr w:type="gramStart"/>
                  <w:r>
                    <w:rPr>
                      <w:rFonts w:ascii="Calibri" w:hAnsi="Calibri" w:cs="Calibri"/>
                      <w:sz w:val="24"/>
                      <w:szCs w:val="24"/>
                    </w:rPr>
                    <w:t>taken into account</w:t>
                  </w:r>
                  <w:proofErr w:type="gramEnd"/>
                  <w:r>
                    <w:rPr>
                      <w:rFonts w:ascii="Calibri" w:hAnsi="Calibri" w:cs="Calibri"/>
                      <w:sz w:val="24"/>
                      <w:szCs w:val="24"/>
                    </w:rPr>
                    <w:t xml:space="preserve"> a wide range of views before reaching a decision.</w:t>
                  </w:r>
                </w:p>
                <w:p w14:paraId="2C731717" w14:textId="77777777" w:rsidR="00BD64E3" w:rsidRPr="0023608A" w:rsidRDefault="00BD64E3" w:rsidP="00AC4BA1">
                  <w:pPr>
                    <w:spacing w:before="40" w:after="40"/>
                    <w:ind w:left="-75"/>
                    <w:jc w:val="both"/>
                    <w:rPr>
                      <w:rFonts w:ascii="Calibri" w:hAnsi="Calibri" w:cs="Calibri"/>
                      <w:sz w:val="24"/>
                      <w:szCs w:val="24"/>
                    </w:rPr>
                  </w:pPr>
                </w:p>
              </w:tc>
            </w:tr>
          </w:tbl>
          <w:p w14:paraId="5E4D4CA0" w14:textId="77777777" w:rsidR="00BD2C92" w:rsidRPr="00F33A7F" w:rsidRDefault="00BD2C92" w:rsidP="00AC4BA1">
            <w:pPr>
              <w:spacing w:before="40" w:after="40"/>
              <w:jc w:val="both"/>
              <w:rPr>
                <w:rFonts w:ascii="Calibri" w:hAnsi="Calibri" w:cs="Calibri"/>
                <w:sz w:val="24"/>
                <w:szCs w:val="24"/>
              </w:rPr>
            </w:pPr>
          </w:p>
        </w:tc>
      </w:tr>
      <w:tr w:rsidR="004E01AB" w:rsidRPr="00F33A7F" w14:paraId="610322FB" w14:textId="77777777" w:rsidTr="0008581F">
        <w:tc>
          <w:tcPr>
            <w:tcW w:w="533" w:type="dxa"/>
            <w:shd w:val="clear" w:color="auto" w:fill="auto"/>
          </w:tcPr>
          <w:p w14:paraId="40ADF183" w14:textId="56C185AC" w:rsidR="004E01AB" w:rsidRDefault="00EF22B0" w:rsidP="00AC4BA1">
            <w:pPr>
              <w:spacing w:before="40"/>
              <w:jc w:val="both"/>
              <w:rPr>
                <w:rFonts w:ascii="Helvetica 65 Medium" w:hAnsi="Helvetica 65 Medium"/>
                <w:b/>
                <w:color w:val="0070C0"/>
                <w:sz w:val="24"/>
                <w:szCs w:val="24"/>
              </w:rPr>
            </w:pPr>
            <w:r>
              <w:rPr>
                <w:rFonts w:ascii="Helvetica 65 Medium" w:hAnsi="Helvetica 65 Medium"/>
                <w:b/>
                <w:color w:val="0070C0"/>
                <w:sz w:val="24"/>
                <w:szCs w:val="24"/>
              </w:rPr>
              <w:t>8</w:t>
            </w:r>
            <w:r w:rsidR="004E01AB">
              <w:rPr>
                <w:rFonts w:ascii="Helvetica 65 Medium" w:hAnsi="Helvetica 65 Medium"/>
                <w:b/>
                <w:color w:val="0070C0"/>
                <w:sz w:val="24"/>
                <w:szCs w:val="24"/>
              </w:rPr>
              <w:t>.</w:t>
            </w:r>
          </w:p>
        </w:tc>
        <w:tc>
          <w:tcPr>
            <w:tcW w:w="9105" w:type="dxa"/>
            <w:gridSpan w:val="3"/>
            <w:shd w:val="clear" w:color="auto" w:fill="auto"/>
          </w:tcPr>
          <w:p w14:paraId="6C170774" w14:textId="77777777" w:rsidR="004E01AB" w:rsidRDefault="004E01AB" w:rsidP="00AC4BA1">
            <w:pPr>
              <w:spacing w:before="40" w:after="40"/>
              <w:ind w:left="-75"/>
              <w:jc w:val="both"/>
              <w:rPr>
                <w:rFonts w:ascii="Calibri" w:hAnsi="Calibri" w:cs="Calibri"/>
                <w:b/>
                <w:color w:val="4F81BD"/>
                <w:sz w:val="24"/>
                <w:szCs w:val="24"/>
              </w:rPr>
            </w:pPr>
            <w:r>
              <w:rPr>
                <w:rFonts w:ascii="Calibri" w:hAnsi="Calibri" w:cs="Calibri"/>
                <w:b/>
                <w:color w:val="4F81BD"/>
                <w:sz w:val="24"/>
                <w:szCs w:val="24"/>
              </w:rPr>
              <w:t>Equality &amp; Diversity Implications</w:t>
            </w:r>
          </w:p>
          <w:p w14:paraId="4A85D750" w14:textId="1DF64FDF" w:rsidR="004E01AB" w:rsidRDefault="00854899" w:rsidP="00AC4BA1">
            <w:pPr>
              <w:spacing w:before="40" w:after="40"/>
              <w:ind w:left="-75"/>
              <w:jc w:val="both"/>
              <w:rPr>
                <w:rFonts w:ascii="Calibri" w:hAnsi="Calibri" w:cs="Calibri"/>
                <w:sz w:val="24"/>
                <w:szCs w:val="24"/>
              </w:rPr>
            </w:pPr>
            <w:r>
              <w:rPr>
                <w:rFonts w:ascii="Calibri" w:hAnsi="Calibri" w:cs="Calibri"/>
                <w:sz w:val="24"/>
                <w:szCs w:val="24"/>
              </w:rPr>
              <w:t>An Equality Impact Assessment has been carried out</w:t>
            </w:r>
            <w:r w:rsidR="00CB1C1C">
              <w:rPr>
                <w:rFonts w:ascii="Calibri" w:hAnsi="Calibri" w:cs="Calibri"/>
                <w:sz w:val="24"/>
                <w:szCs w:val="24"/>
              </w:rPr>
              <w:t xml:space="preserve"> and is at </w:t>
            </w:r>
            <w:r w:rsidR="00CB1C1C" w:rsidRPr="00CB1C1C">
              <w:rPr>
                <w:rFonts w:ascii="Calibri" w:hAnsi="Calibri" w:cs="Calibri"/>
                <w:b/>
                <w:bCs/>
                <w:color w:val="4F81BD" w:themeColor="accent1"/>
                <w:sz w:val="24"/>
                <w:szCs w:val="24"/>
              </w:rPr>
              <w:t>Appendix D</w:t>
            </w:r>
            <w:r>
              <w:rPr>
                <w:rFonts w:ascii="Calibri" w:hAnsi="Calibri" w:cs="Calibri"/>
                <w:sz w:val="24"/>
                <w:szCs w:val="24"/>
              </w:rPr>
              <w:t>. No adverse implications of this policy have been identified. There may be positive implications to certain groups in the future if this guidance can contribute in some way to a safer, more sustainable built environment.</w:t>
            </w:r>
          </w:p>
          <w:p w14:paraId="0BA200BE" w14:textId="77777777" w:rsidR="002F5DBF" w:rsidRPr="004E01AB" w:rsidRDefault="002F5DBF" w:rsidP="00AC4BA1">
            <w:pPr>
              <w:spacing w:before="40" w:after="40"/>
              <w:ind w:left="-75"/>
              <w:jc w:val="both"/>
              <w:rPr>
                <w:rFonts w:ascii="Calibri" w:hAnsi="Calibri" w:cs="Calibri"/>
                <w:sz w:val="24"/>
                <w:szCs w:val="24"/>
              </w:rPr>
            </w:pPr>
          </w:p>
        </w:tc>
      </w:tr>
      <w:tr w:rsidR="00A55890" w:rsidRPr="00F33A7F" w14:paraId="40A55059" w14:textId="77777777" w:rsidTr="0008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3" w:type="dxa"/>
            <w:vMerge w:val="restart"/>
            <w:tcBorders>
              <w:top w:val="nil"/>
              <w:left w:val="nil"/>
              <w:bottom w:val="nil"/>
              <w:right w:val="nil"/>
            </w:tcBorders>
            <w:shd w:val="clear" w:color="auto" w:fill="auto"/>
          </w:tcPr>
          <w:p w14:paraId="5061EC98" w14:textId="732AB2C1" w:rsidR="00A55890" w:rsidRPr="00F63BDD" w:rsidRDefault="00EF22B0" w:rsidP="00AC4BA1">
            <w:pPr>
              <w:spacing w:before="40"/>
              <w:jc w:val="both"/>
              <w:rPr>
                <w:rFonts w:ascii="Calibri" w:hAnsi="Calibri" w:cs="Calibri"/>
                <w:b/>
                <w:color w:val="4F81BD"/>
                <w:sz w:val="24"/>
                <w:szCs w:val="24"/>
              </w:rPr>
            </w:pPr>
            <w:r>
              <w:rPr>
                <w:rFonts w:ascii="Calibri" w:hAnsi="Calibri" w:cs="Calibri"/>
                <w:b/>
                <w:color w:val="4F81BD"/>
                <w:sz w:val="24"/>
                <w:szCs w:val="24"/>
              </w:rPr>
              <w:t>9</w:t>
            </w:r>
            <w:r w:rsidR="00A55890" w:rsidRPr="00F63BDD">
              <w:rPr>
                <w:rFonts w:ascii="Calibri" w:hAnsi="Calibri" w:cs="Calibri"/>
                <w:b/>
                <w:color w:val="4F81BD"/>
                <w:sz w:val="24"/>
                <w:szCs w:val="24"/>
              </w:rPr>
              <w:t>.</w:t>
            </w:r>
          </w:p>
        </w:tc>
        <w:tc>
          <w:tcPr>
            <w:tcW w:w="9105" w:type="dxa"/>
            <w:gridSpan w:val="3"/>
            <w:tcBorders>
              <w:top w:val="nil"/>
              <w:left w:val="nil"/>
              <w:bottom w:val="nil"/>
              <w:right w:val="nil"/>
            </w:tcBorders>
            <w:shd w:val="clear" w:color="auto" w:fill="auto"/>
          </w:tcPr>
          <w:p w14:paraId="57BE7542" w14:textId="77777777" w:rsidR="00A55890" w:rsidRPr="00F63BDD" w:rsidRDefault="00A55890" w:rsidP="00AC4BA1">
            <w:pPr>
              <w:spacing w:before="40" w:after="40"/>
              <w:jc w:val="both"/>
              <w:rPr>
                <w:rFonts w:ascii="Calibri" w:hAnsi="Calibri" w:cs="Calibri"/>
                <w:b/>
                <w:color w:val="4F81BD"/>
                <w:sz w:val="24"/>
                <w:szCs w:val="24"/>
              </w:rPr>
            </w:pPr>
            <w:r w:rsidRPr="00F63BDD">
              <w:rPr>
                <w:rFonts w:ascii="Calibri" w:hAnsi="Calibri" w:cs="Calibri"/>
                <w:b/>
                <w:color w:val="4F81BD"/>
                <w:sz w:val="24"/>
                <w:szCs w:val="24"/>
              </w:rPr>
              <w:t>Communication</w:t>
            </w:r>
          </w:p>
        </w:tc>
      </w:tr>
      <w:tr w:rsidR="00A55890" w:rsidRPr="00F33A7F" w14:paraId="6ABE24BB" w14:textId="77777777" w:rsidTr="0008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3" w:type="dxa"/>
            <w:vMerge/>
            <w:tcBorders>
              <w:top w:val="nil"/>
              <w:left w:val="nil"/>
              <w:bottom w:val="nil"/>
              <w:right w:val="nil"/>
            </w:tcBorders>
            <w:shd w:val="clear" w:color="auto" w:fill="auto"/>
          </w:tcPr>
          <w:p w14:paraId="21084B56" w14:textId="77777777" w:rsidR="00A55890" w:rsidRPr="00F33A7F" w:rsidRDefault="00A55890" w:rsidP="00AC4BA1">
            <w:pPr>
              <w:spacing w:before="40"/>
              <w:jc w:val="both"/>
              <w:rPr>
                <w:rFonts w:ascii="Helvetica 65 Medium" w:hAnsi="Helvetica 65 Medium"/>
                <w:sz w:val="24"/>
                <w:szCs w:val="24"/>
              </w:rPr>
            </w:pPr>
          </w:p>
        </w:tc>
        <w:tc>
          <w:tcPr>
            <w:tcW w:w="9105" w:type="dxa"/>
            <w:gridSpan w:val="3"/>
            <w:tcBorders>
              <w:top w:val="nil"/>
              <w:left w:val="nil"/>
              <w:bottom w:val="nil"/>
              <w:right w:val="nil"/>
            </w:tcBorders>
            <w:shd w:val="clear" w:color="auto" w:fill="auto"/>
          </w:tcPr>
          <w:p w14:paraId="4FD68033" w14:textId="5B02455B" w:rsidR="00083B15" w:rsidRDefault="0097331E" w:rsidP="004612BE">
            <w:pPr>
              <w:spacing w:before="40" w:after="40"/>
              <w:jc w:val="both"/>
              <w:rPr>
                <w:rFonts w:ascii="Calibri" w:hAnsi="Calibri" w:cs="Calibri"/>
                <w:sz w:val="24"/>
                <w:szCs w:val="24"/>
              </w:rPr>
            </w:pPr>
            <w:r>
              <w:rPr>
                <w:rFonts w:ascii="Calibri" w:hAnsi="Calibri" w:cs="Calibri"/>
                <w:sz w:val="24"/>
                <w:szCs w:val="24"/>
              </w:rPr>
              <w:t xml:space="preserve">When the </w:t>
            </w:r>
            <w:r w:rsidR="000D0812">
              <w:rPr>
                <w:rFonts w:ascii="Calibri" w:hAnsi="Calibri" w:cs="Calibri"/>
                <w:sz w:val="24"/>
                <w:szCs w:val="24"/>
              </w:rPr>
              <w:t>G</w:t>
            </w:r>
            <w:r>
              <w:rPr>
                <w:rFonts w:ascii="Calibri" w:hAnsi="Calibri" w:cs="Calibri"/>
                <w:sz w:val="24"/>
                <w:szCs w:val="24"/>
              </w:rPr>
              <w:t xml:space="preserve">uidance is </w:t>
            </w:r>
            <w:r w:rsidR="00B40EB9">
              <w:rPr>
                <w:rFonts w:ascii="Calibri" w:hAnsi="Calibri" w:cs="Calibri"/>
                <w:sz w:val="24"/>
                <w:szCs w:val="24"/>
              </w:rPr>
              <w:t>approved and ready</w:t>
            </w:r>
            <w:r>
              <w:rPr>
                <w:rFonts w:ascii="Calibri" w:hAnsi="Calibri" w:cs="Calibri"/>
                <w:sz w:val="24"/>
                <w:szCs w:val="24"/>
              </w:rPr>
              <w:t xml:space="preserve"> to be </w:t>
            </w:r>
            <w:r w:rsidR="00083B15">
              <w:rPr>
                <w:rFonts w:ascii="Calibri" w:hAnsi="Calibri" w:cs="Calibri"/>
                <w:sz w:val="24"/>
                <w:szCs w:val="24"/>
              </w:rPr>
              <w:t>issued</w:t>
            </w:r>
            <w:r>
              <w:rPr>
                <w:rFonts w:ascii="Calibri" w:hAnsi="Calibri" w:cs="Calibri"/>
                <w:sz w:val="24"/>
                <w:szCs w:val="24"/>
              </w:rPr>
              <w:t xml:space="preserve">, </w:t>
            </w:r>
            <w:r w:rsidR="00B40EB9">
              <w:rPr>
                <w:rFonts w:ascii="Calibri" w:hAnsi="Calibri" w:cs="Calibri"/>
                <w:sz w:val="24"/>
                <w:szCs w:val="24"/>
              </w:rPr>
              <w:t xml:space="preserve">it will be published on ARB’s website along with the updated </w:t>
            </w:r>
            <w:r>
              <w:rPr>
                <w:rFonts w:ascii="Calibri" w:hAnsi="Calibri" w:cs="Calibri"/>
                <w:sz w:val="24"/>
                <w:szCs w:val="24"/>
              </w:rPr>
              <w:t>consultation report.</w:t>
            </w:r>
            <w:r w:rsidR="005B04D9">
              <w:rPr>
                <w:rFonts w:ascii="Calibri" w:hAnsi="Calibri" w:cs="Calibri"/>
                <w:sz w:val="24"/>
                <w:szCs w:val="24"/>
              </w:rPr>
              <w:t xml:space="preserve"> </w:t>
            </w:r>
            <w:r w:rsidR="00083B15">
              <w:rPr>
                <w:rFonts w:ascii="Calibri" w:hAnsi="Calibri" w:cs="Calibri"/>
                <w:sz w:val="24"/>
                <w:szCs w:val="24"/>
              </w:rPr>
              <w:t>The aims of the communication activities will be to:</w:t>
            </w:r>
          </w:p>
          <w:p w14:paraId="4E0DB716" w14:textId="77777777" w:rsidR="00083B15" w:rsidRPr="00083B15" w:rsidRDefault="00083B15" w:rsidP="00083B15">
            <w:pPr>
              <w:pStyle w:val="ListParagraph"/>
              <w:numPr>
                <w:ilvl w:val="0"/>
                <w:numId w:val="31"/>
              </w:numPr>
              <w:spacing w:before="40" w:after="40"/>
              <w:jc w:val="both"/>
              <w:rPr>
                <w:rFonts w:ascii="Calibri" w:hAnsi="Calibri" w:cs="Calibri"/>
                <w:sz w:val="24"/>
                <w:szCs w:val="24"/>
              </w:rPr>
            </w:pPr>
            <w:r w:rsidRPr="00083B15">
              <w:rPr>
                <w:rFonts w:ascii="Calibri" w:hAnsi="Calibri" w:cs="Calibri"/>
                <w:sz w:val="24"/>
                <w:szCs w:val="24"/>
              </w:rPr>
              <w:t xml:space="preserve">make sure that anyone who needs to implement the guidance is aware of its </w:t>
            </w:r>
            <w:proofErr w:type="gramStart"/>
            <w:r w:rsidRPr="00083B15">
              <w:rPr>
                <w:rFonts w:ascii="Calibri" w:hAnsi="Calibri" w:cs="Calibri"/>
                <w:sz w:val="24"/>
                <w:szCs w:val="24"/>
              </w:rPr>
              <w:t>introduction;</w:t>
            </w:r>
            <w:proofErr w:type="gramEnd"/>
          </w:p>
          <w:p w14:paraId="15741966" w14:textId="77777777" w:rsidR="00083B15" w:rsidRDefault="00083B15" w:rsidP="00083B15">
            <w:pPr>
              <w:pStyle w:val="ListParagraph"/>
              <w:numPr>
                <w:ilvl w:val="0"/>
                <w:numId w:val="31"/>
              </w:numPr>
              <w:spacing w:before="40" w:after="40"/>
              <w:jc w:val="both"/>
              <w:rPr>
                <w:rFonts w:ascii="Calibri" w:hAnsi="Calibri" w:cs="Calibri"/>
                <w:sz w:val="24"/>
                <w:szCs w:val="24"/>
              </w:rPr>
            </w:pPr>
            <w:r w:rsidRPr="00083B15">
              <w:rPr>
                <w:rFonts w:ascii="Calibri" w:hAnsi="Calibri" w:cs="Calibri"/>
                <w:sz w:val="24"/>
                <w:szCs w:val="24"/>
              </w:rPr>
              <w:t xml:space="preserve">achieve the purpose of the consultation report as set out at point 5 (vii) above, </w:t>
            </w:r>
            <w:proofErr w:type="gramStart"/>
            <w:r w:rsidRPr="00083B15">
              <w:rPr>
                <w:rFonts w:ascii="Calibri" w:hAnsi="Calibri" w:cs="Calibri"/>
                <w:sz w:val="24"/>
                <w:szCs w:val="24"/>
              </w:rPr>
              <w:t>and;</w:t>
            </w:r>
            <w:proofErr w:type="gramEnd"/>
            <w:r w:rsidRPr="00083B15">
              <w:rPr>
                <w:rFonts w:ascii="Calibri" w:hAnsi="Calibri" w:cs="Calibri"/>
                <w:sz w:val="24"/>
                <w:szCs w:val="24"/>
              </w:rPr>
              <w:t xml:space="preserve"> </w:t>
            </w:r>
          </w:p>
          <w:p w14:paraId="38AF5495" w14:textId="5D93F62D" w:rsidR="00083B15" w:rsidRPr="00083B15" w:rsidRDefault="00083B15" w:rsidP="00083B15">
            <w:pPr>
              <w:pStyle w:val="ListParagraph"/>
              <w:numPr>
                <w:ilvl w:val="0"/>
                <w:numId w:val="31"/>
              </w:numPr>
              <w:spacing w:before="40" w:after="40"/>
              <w:jc w:val="both"/>
              <w:rPr>
                <w:rFonts w:ascii="Calibri" w:hAnsi="Calibri" w:cs="Calibri"/>
                <w:sz w:val="24"/>
                <w:szCs w:val="24"/>
              </w:rPr>
            </w:pPr>
            <w:r w:rsidRPr="00083B15">
              <w:rPr>
                <w:rFonts w:ascii="Calibri" w:hAnsi="Calibri" w:cs="Calibri"/>
                <w:sz w:val="24"/>
                <w:szCs w:val="24"/>
              </w:rPr>
              <w:t xml:space="preserve">promote the review of initial education and </w:t>
            </w:r>
            <w:proofErr w:type="gramStart"/>
            <w:r w:rsidRPr="00083B15">
              <w:rPr>
                <w:rFonts w:ascii="Calibri" w:hAnsi="Calibri" w:cs="Calibri"/>
                <w:sz w:val="24"/>
                <w:szCs w:val="24"/>
              </w:rPr>
              <w:t>training</w:t>
            </w:r>
            <w:r w:rsidR="00CE1F09">
              <w:rPr>
                <w:rFonts w:ascii="Calibri" w:hAnsi="Calibri" w:cs="Calibri"/>
                <w:sz w:val="24"/>
                <w:szCs w:val="24"/>
              </w:rPr>
              <w:t>,</w:t>
            </w:r>
            <w:r w:rsidRPr="00083B15">
              <w:rPr>
                <w:rFonts w:ascii="Calibri" w:hAnsi="Calibri" w:cs="Calibri"/>
                <w:sz w:val="24"/>
                <w:szCs w:val="24"/>
              </w:rPr>
              <w:t xml:space="preserve"> and</w:t>
            </w:r>
            <w:proofErr w:type="gramEnd"/>
            <w:r w:rsidRPr="00083B15">
              <w:rPr>
                <w:rFonts w:ascii="Calibri" w:hAnsi="Calibri" w:cs="Calibri"/>
                <w:sz w:val="24"/>
                <w:szCs w:val="24"/>
              </w:rPr>
              <w:t xml:space="preserve"> encourage involvement in the engagement activities scheduled for later this year. </w:t>
            </w:r>
          </w:p>
          <w:p w14:paraId="03328C20" w14:textId="078FF4CF" w:rsidR="00083B15" w:rsidRDefault="00083B15" w:rsidP="004612BE">
            <w:pPr>
              <w:spacing w:before="40" w:after="40"/>
              <w:jc w:val="both"/>
              <w:rPr>
                <w:rFonts w:ascii="Calibri" w:hAnsi="Calibri" w:cs="Calibri"/>
                <w:sz w:val="24"/>
                <w:szCs w:val="24"/>
              </w:rPr>
            </w:pPr>
            <w:r>
              <w:rPr>
                <w:rFonts w:ascii="Calibri" w:hAnsi="Calibri" w:cs="Calibri"/>
                <w:sz w:val="24"/>
                <w:szCs w:val="24"/>
              </w:rPr>
              <w:t>The target audiences are the same as those of the consultation, at point 5 (viii) above.</w:t>
            </w:r>
          </w:p>
          <w:p w14:paraId="5977BB18" w14:textId="77777777" w:rsidR="00083B15" w:rsidRDefault="00083B15" w:rsidP="004612BE">
            <w:pPr>
              <w:spacing w:before="40" w:after="40"/>
              <w:jc w:val="both"/>
              <w:rPr>
                <w:rFonts w:ascii="Calibri" w:hAnsi="Calibri" w:cs="Calibri"/>
                <w:sz w:val="24"/>
                <w:szCs w:val="24"/>
              </w:rPr>
            </w:pPr>
          </w:p>
          <w:p w14:paraId="6EA8D2EE" w14:textId="5FD6011A" w:rsidR="00FC111F" w:rsidRDefault="0097331E" w:rsidP="004612BE">
            <w:pPr>
              <w:spacing w:before="40" w:after="40"/>
              <w:jc w:val="both"/>
              <w:rPr>
                <w:rFonts w:ascii="Calibri" w:hAnsi="Calibri" w:cs="Calibri"/>
                <w:sz w:val="24"/>
                <w:szCs w:val="24"/>
              </w:rPr>
            </w:pPr>
            <w:r>
              <w:rPr>
                <w:rFonts w:ascii="Calibri" w:hAnsi="Calibri" w:cs="Calibri"/>
                <w:sz w:val="24"/>
                <w:szCs w:val="24"/>
              </w:rPr>
              <w:t xml:space="preserve">Both the report and the </w:t>
            </w:r>
            <w:r w:rsidR="000D0812">
              <w:rPr>
                <w:rFonts w:ascii="Calibri" w:hAnsi="Calibri" w:cs="Calibri"/>
                <w:sz w:val="24"/>
                <w:szCs w:val="24"/>
              </w:rPr>
              <w:t>G</w:t>
            </w:r>
            <w:r>
              <w:rPr>
                <w:rFonts w:ascii="Calibri" w:hAnsi="Calibri" w:cs="Calibri"/>
                <w:sz w:val="24"/>
                <w:szCs w:val="24"/>
              </w:rPr>
              <w:t xml:space="preserve">uidance will be published </w:t>
            </w:r>
            <w:r w:rsidR="00083B15">
              <w:rPr>
                <w:rFonts w:ascii="Calibri" w:hAnsi="Calibri" w:cs="Calibri"/>
                <w:sz w:val="24"/>
                <w:szCs w:val="24"/>
              </w:rPr>
              <w:t xml:space="preserve">and directly emailed </w:t>
            </w:r>
            <w:r>
              <w:rPr>
                <w:rFonts w:ascii="Calibri" w:hAnsi="Calibri" w:cs="Calibri"/>
                <w:sz w:val="24"/>
                <w:szCs w:val="24"/>
              </w:rPr>
              <w:t xml:space="preserve">to all institutions offering ARB-prescribed qualifications, </w:t>
            </w:r>
            <w:r w:rsidR="00B40EB9">
              <w:rPr>
                <w:rFonts w:ascii="Calibri" w:hAnsi="Calibri" w:cs="Calibri"/>
                <w:sz w:val="24"/>
                <w:szCs w:val="24"/>
              </w:rPr>
              <w:t xml:space="preserve">along with additional information about implementation, as set out in the recommendations above. </w:t>
            </w:r>
            <w:r w:rsidR="00083B15">
              <w:rPr>
                <w:rFonts w:ascii="Calibri" w:hAnsi="Calibri" w:cs="Calibri"/>
                <w:sz w:val="24"/>
                <w:szCs w:val="24"/>
              </w:rPr>
              <w:t xml:space="preserve">Respondents to the consultation were asked whether they would like to </w:t>
            </w:r>
            <w:r w:rsidR="00F26226">
              <w:rPr>
                <w:rFonts w:ascii="Calibri" w:hAnsi="Calibri" w:cs="Calibri"/>
                <w:sz w:val="24"/>
                <w:szCs w:val="24"/>
              </w:rPr>
              <w:t xml:space="preserve">be </w:t>
            </w:r>
            <w:r w:rsidR="00083B15">
              <w:rPr>
                <w:rFonts w:ascii="Calibri" w:hAnsi="Calibri" w:cs="Calibri"/>
                <w:sz w:val="24"/>
                <w:szCs w:val="24"/>
              </w:rPr>
              <w:t xml:space="preserve">kept informed; 92% agreed and they will be sent a dedicated email confirming the outcome of the consultation and the </w:t>
            </w:r>
            <w:r w:rsidR="00E92FB7">
              <w:rPr>
                <w:rFonts w:ascii="Calibri" w:hAnsi="Calibri" w:cs="Calibri"/>
                <w:sz w:val="24"/>
                <w:szCs w:val="24"/>
              </w:rPr>
              <w:t>G</w:t>
            </w:r>
            <w:r w:rsidR="00083B15">
              <w:rPr>
                <w:rFonts w:ascii="Calibri" w:hAnsi="Calibri" w:cs="Calibri"/>
                <w:sz w:val="24"/>
                <w:szCs w:val="24"/>
              </w:rPr>
              <w:t xml:space="preserve">uidance. </w:t>
            </w:r>
            <w:r w:rsidR="00B40EB9">
              <w:rPr>
                <w:rFonts w:ascii="Calibri" w:hAnsi="Calibri" w:cs="Calibri"/>
                <w:sz w:val="24"/>
                <w:szCs w:val="24"/>
              </w:rPr>
              <w:t xml:space="preserve">The documents will be shared with </w:t>
            </w:r>
            <w:r>
              <w:rPr>
                <w:rFonts w:ascii="Calibri" w:hAnsi="Calibri" w:cs="Calibri"/>
                <w:sz w:val="24"/>
                <w:szCs w:val="24"/>
              </w:rPr>
              <w:t xml:space="preserve">architects through the </w:t>
            </w:r>
            <w:proofErr w:type="spellStart"/>
            <w:r>
              <w:rPr>
                <w:rFonts w:ascii="Calibri" w:hAnsi="Calibri" w:cs="Calibri"/>
                <w:sz w:val="24"/>
                <w:szCs w:val="24"/>
              </w:rPr>
              <w:t>eBulletin</w:t>
            </w:r>
            <w:proofErr w:type="spellEnd"/>
            <w:r>
              <w:rPr>
                <w:rFonts w:ascii="Calibri" w:hAnsi="Calibri" w:cs="Calibri"/>
                <w:sz w:val="24"/>
                <w:szCs w:val="24"/>
              </w:rPr>
              <w:t>, our social media channels, and via a news release to the trade press</w:t>
            </w:r>
            <w:r w:rsidR="00083B15">
              <w:rPr>
                <w:rFonts w:ascii="Calibri" w:hAnsi="Calibri" w:cs="Calibri"/>
                <w:sz w:val="24"/>
                <w:szCs w:val="24"/>
              </w:rPr>
              <w:t>, and raised in relevant stakeholder meetings</w:t>
            </w:r>
            <w:r>
              <w:rPr>
                <w:rFonts w:ascii="Calibri" w:hAnsi="Calibri" w:cs="Calibri"/>
                <w:sz w:val="24"/>
                <w:szCs w:val="24"/>
              </w:rPr>
              <w:t xml:space="preserve">. </w:t>
            </w:r>
          </w:p>
          <w:p w14:paraId="253B3071" w14:textId="784448C6" w:rsidR="005B04D9" w:rsidRPr="00F33A7F" w:rsidRDefault="005B04D9" w:rsidP="004612BE">
            <w:pPr>
              <w:spacing w:before="40" w:after="40"/>
              <w:jc w:val="both"/>
              <w:rPr>
                <w:rFonts w:ascii="Calibri" w:hAnsi="Calibri" w:cs="Calibri"/>
                <w:sz w:val="24"/>
                <w:szCs w:val="24"/>
              </w:rPr>
            </w:pPr>
          </w:p>
        </w:tc>
      </w:tr>
      <w:tr w:rsidR="003D41F3" w:rsidRPr="00F33A7F" w14:paraId="25123183" w14:textId="77777777" w:rsidTr="0008581F">
        <w:tc>
          <w:tcPr>
            <w:tcW w:w="549" w:type="dxa"/>
            <w:gridSpan w:val="2"/>
            <w:shd w:val="clear" w:color="auto" w:fill="auto"/>
          </w:tcPr>
          <w:p w14:paraId="1B94174B" w14:textId="26B4DC0B" w:rsidR="003D41F3" w:rsidRPr="00F63BDD" w:rsidRDefault="00EF22B0" w:rsidP="00DA66DF">
            <w:pPr>
              <w:spacing w:before="40"/>
              <w:jc w:val="both"/>
              <w:rPr>
                <w:rFonts w:ascii="Calibri" w:hAnsi="Calibri" w:cs="Calibri"/>
                <w:b/>
                <w:color w:val="4F81BD"/>
                <w:sz w:val="24"/>
                <w:szCs w:val="24"/>
              </w:rPr>
            </w:pPr>
            <w:r>
              <w:rPr>
                <w:rFonts w:ascii="Calibri" w:hAnsi="Calibri" w:cs="Calibri"/>
                <w:b/>
                <w:color w:val="4F81BD"/>
                <w:sz w:val="24"/>
                <w:szCs w:val="24"/>
              </w:rPr>
              <w:t>10</w:t>
            </w:r>
            <w:r w:rsidR="003D41F3" w:rsidRPr="00F63BDD">
              <w:rPr>
                <w:rFonts w:ascii="Calibri" w:hAnsi="Calibri" w:cs="Calibri"/>
                <w:b/>
                <w:color w:val="4F81BD"/>
                <w:sz w:val="24"/>
                <w:szCs w:val="24"/>
              </w:rPr>
              <w:t xml:space="preserve">. </w:t>
            </w:r>
          </w:p>
        </w:tc>
        <w:tc>
          <w:tcPr>
            <w:tcW w:w="9089" w:type="dxa"/>
            <w:gridSpan w:val="2"/>
            <w:shd w:val="clear" w:color="auto" w:fill="auto"/>
          </w:tcPr>
          <w:p w14:paraId="6C271863" w14:textId="77777777" w:rsidR="003D41F3" w:rsidRDefault="003D41F3" w:rsidP="00DA66DF">
            <w:pPr>
              <w:spacing w:before="40" w:after="40"/>
              <w:jc w:val="both"/>
              <w:rPr>
                <w:rFonts w:ascii="Calibri" w:hAnsi="Calibri" w:cs="Calibri"/>
                <w:b/>
                <w:color w:val="4F81BD"/>
                <w:sz w:val="24"/>
                <w:szCs w:val="24"/>
              </w:rPr>
            </w:pPr>
            <w:r>
              <w:rPr>
                <w:rFonts w:ascii="Calibri" w:hAnsi="Calibri" w:cs="Calibri"/>
                <w:b/>
                <w:color w:val="4F81BD"/>
                <w:sz w:val="24"/>
                <w:szCs w:val="24"/>
              </w:rPr>
              <w:t>Further Actions</w:t>
            </w:r>
          </w:p>
          <w:p w14:paraId="1B4E474E" w14:textId="52CE175B" w:rsidR="00FC111F" w:rsidRPr="00FC111F" w:rsidRDefault="00FC111F" w:rsidP="0008581F">
            <w:pPr>
              <w:ind w:left="17"/>
              <w:jc w:val="both"/>
              <w:rPr>
                <w:rFonts w:asciiTheme="minorHAnsi" w:hAnsiTheme="minorHAnsi"/>
                <w:sz w:val="24"/>
                <w:szCs w:val="24"/>
              </w:rPr>
            </w:pPr>
            <w:r>
              <w:rPr>
                <w:rFonts w:asciiTheme="minorHAnsi" w:hAnsiTheme="minorHAnsi"/>
                <w:sz w:val="24"/>
                <w:szCs w:val="24"/>
              </w:rPr>
              <w:t xml:space="preserve">Subject to the Board’s agreement, the </w:t>
            </w:r>
            <w:r w:rsidR="000D0812">
              <w:rPr>
                <w:rFonts w:asciiTheme="minorHAnsi" w:hAnsiTheme="minorHAnsi"/>
                <w:sz w:val="24"/>
                <w:szCs w:val="24"/>
              </w:rPr>
              <w:t>G</w:t>
            </w:r>
            <w:r w:rsidR="00854899">
              <w:rPr>
                <w:rFonts w:asciiTheme="minorHAnsi" w:hAnsiTheme="minorHAnsi"/>
                <w:sz w:val="24"/>
                <w:szCs w:val="24"/>
              </w:rPr>
              <w:t xml:space="preserve">uidance will be issued to the institutions </w:t>
            </w:r>
            <w:r w:rsidR="000A327B">
              <w:rPr>
                <w:rFonts w:asciiTheme="minorHAnsi" w:hAnsiTheme="minorHAnsi"/>
                <w:sz w:val="24"/>
                <w:szCs w:val="24"/>
              </w:rPr>
              <w:t>seeking or offering prescribed qualifications</w:t>
            </w:r>
            <w:r w:rsidR="0008581F">
              <w:rPr>
                <w:rFonts w:asciiTheme="minorHAnsi" w:hAnsiTheme="minorHAnsi"/>
                <w:sz w:val="24"/>
                <w:szCs w:val="24"/>
              </w:rPr>
              <w:t xml:space="preserve">, and the appropriate changes made to ARB’s internal procedures. ARB staff will be made available to answer any queries arising from the </w:t>
            </w:r>
            <w:r w:rsidR="000D0812">
              <w:rPr>
                <w:rFonts w:asciiTheme="minorHAnsi" w:hAnsiTheme="minorHAnsi"/>
                <w:sz w:val="24"/>
                <w:szCs w:val="24"/>
              </w:rPr>
              <w:t>g</w:t>
            </w:r>
            <w:r w:rsidR="0008581F">
              <w:rPr>
                <w:rFonts w:asciiTheme="minorHAnsi" w:hAnsiTheme="minorHAnsi"/>
                <w:sz w:val="24"/>
                <w:szCs w:val="24"/>
              </w:rPr>
              <w:t>uidance.</w:t>
            </w:r>
          </w:p>
        </w:tc>
      </w:tr>
    </w:tbl>
    <w:p w14:paraId="46022E94" w14:textId="0790CF75" w:rsidR="00886A27" w:rsidRPr="00886A27" w:rsidRDefault="00886A27" w:rsidP="00350AAA">
      <w:pPr>
        <w:ind w:left="567"/>
        <w:jc w:val="both"/>
        <w:rPr>
          <w:rFonts w:asciiTheme="minorHAnsi" w:hAnsiTheme="minorHAnsi"/>
          <w:sz w:val="24"/>
          <w:szCs w:val="24"/>
        </w:rPr>
      </w:pPr>
    </w:p>
    <w:sectPr w:rsidR="00886A27" w:rsidRPr="00886A27" w:rsidSect="009D04EB">
      <w:headerReference w:type="default" r:id="rId10"/>
      <w:footerReference w:type="default" r:id="rId11"/>
      <w:footerReference w:type="first" r:id="rId12"/>
      <w:pgSz w:w="11906" w:h="16838" w:code="9"/>
      <w:pgMar w:top="567"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A05F5" w14:textId="77777777" w:rsidR="00773418" w:rsidRDefault="00773418">
      <w:r>
        <w:separator/>
      </w:r>
    </w:p>
  </w:endnote>
  <w:endnote w:type="continuationSeparator" w:id="0">
    <w:p w14:paraId="52407285" w14:textId="77777777" w:rsidR="00773418" w:rsidRDefault="0077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65 Medium">
    <w:altName w:val="Vrinda"/>
    <w:charset w:val="00"/>
    <w:family w:val="swiss"/>
    <w:pitch w:val="variable"/>
    <w:sig w:usb0="00000003" w:usb1="00000000" w:usb2="00000000" w:usb3="00000000" w:csb0="00000001" w:csb1="00000000"/>
  </w:font>
  <w:font w:name="Helvetica 45 Light">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71C3" w14:textId="57C0CBAC" w:rsidR="00FC111F" w:rsidRPr="00FC111F" w:rsidRDefault="00FC111F" w:rsidP="00FC111F">
    <w:pPr>
      <w:pStyle w:val="Footer"/>
      <w:rPr>
        <w:rFonts w:ascii="Calibri" w:hAnsi="Calibri"/>
        <w:sz w:val="16"/>
        <w:szCs w:val="16"/>
      </w:rPr>
    </w:pPr>
    <w:r w:rsidRPr="00FC111F">
      <w:rPr>
        <w:rFonts w:ascii="Calibri" w:hAnsi="Calibri"/>
        <w:sz w:val="16"/>
        <w:szCs w:val="16"/>
      </w:rPr>
      <w:t xml:space="preserve">Board Meeting </w:t>
    </w:r>
    <w:r w:rsidRPr="00FC111F">
      <w:rPr>
        <w:rFonts w:ascii="Calibri" w:hAnsi="Calibri"/>
        <w:sz w:val="16"/>
        <w:szCs w:val="16"/>
      </w:rPr>
      <w:br/>
    </w:r>
    <w:r w:rsidR="0008581F">
      <w:rPr>
        <w:rFonts w:ascii="Calibri" w:hAnsi="Calibri"/>
        <w:sz w:val="16"/>
        <w:szCs w:val="16"/>
      </w:rPr>
      <w:t>21 July</w:t>
    </w:r>
    <w:r w:rsidRPr="00FC111F">
      <w:rPr>
        <w:rFonts w:ascii="Calibri" w:hAnsi="Calibri"/>
        <w:sz w:val="16"/>
        <w:szCs w:val="16"/>
      </w:rPr>
      <w:t xml:space="preserve"> 2021</w:t>
    </w:r>
  </w:p>
  <w:p w14:paraId="09260D53" w14:textId="77777777" w:rsidR="00FC111F" w:rsidRPr="00FC111F" w:rsidRDefault="00FC111F" w:rsidP="00FC111F">
    <w:pPr>
      <w:pStyle w:val="Footer"/>
      <w:rPr>
        <w:rFonts w:ascii="Calibri" w:hAnsi="Calibri"/>
        <w:sz w:val="16"/>
        <w:szCs w:val="16"/>
      </w:rPr>
    </w:pPr>
    <w:r w:rsidRPr="00FC111F">
      <w:rPr>
        <w:rFonts w:ascii="Calibri" w:hAnsi="Calibri"/>
        <w:sz w:val="16"/>
        <w:szCs w:val="16"/>
      </w:rPr>
      <w:t xml:space="preserve">Open Session </w:t>
    </w:r>
  </w:p>
  <w:p w14:paraId="7D48C3FB" w14:textId="77777777" w:rsidR="00FC111F" w:rsidRDefault="00FC1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839B" w14:textId="55804F7D" w:rsidR="00FC111F" w:rsidRPr="00FC111F" w:rsidRDefault="00FC111F">
    <w:pPr>
      <w:pStyle w:val="Footer"/>
      <w:rPr>
        <w:rFonts w:ascii="Calibri" w:hAnsi="Calibri"/>
        <w:sz w:val="16"/>
        <w:szCs w:val="16"/>
      </w:rPr>
    </w:pPr>
    <w:r w:rsidRPr="00FC111F">
      <w:rPr>
        <w:rFonts w:ascii="Calibri" w:hAnsi="Calibri"/>
        <w:sz w:val="16"/>
        <w:szCs w:val="16"/>
      </w:rPr>
      <w:t xml:space="preserve">Board Meeting </w:t>
    </w:r>
    <w:r w:rsidRPr="00FC111F">
      <w:rPr>
        <w:rFonts w:ascii="Calibri" w:hAnsi="Calibri"/>
        <w:sz w:val="16"/>
        <w:szCs w:val="16"/>
      </w:rPr>
      <w:br/>
    </w:r>
    <w:r w:rsidR="0030612D">
      <w:rPr>
        <w:rFonts w:ascii="Calibri" w:hAnsi="Calibri"/>
        <w:sz w:val="16"/>
        <w:szCs w:val="16"/>
      </w:rPr>
      <w:t>21 July</w:t>
    </w:r>
    <w:r w:rsidRPr="00FC111F">
      <w:rPr>
        <w:rFonts w:ascii="Calibri" w:hAnsi="Calibri"/>
        <w:sz w:val="16"/>
        <w:szCs w:val="16"/>
      </w:rPr>
      <w:t xml:space="preserve"> 2021</w:t>
    </w:r>
  </w:p>
  <w:p w14:paraId="61868595" w14:textId="4E14DAA7" w:rsidR="00FC111F" w:rsidRPr="00FC111F" w:rsidRDefault="00FC111F">
    <w:pPr>
      <w:pStyle w:val="Footer"/>
      <w:rPr>
        <w:rFonts w:ascii="Calibri" w:hAnsi="Calibri"/>
        <w:sz w:val="16"/>
        <w:szCs w:val="16"/>
      </w:rPr>
    </w:pPr>
    <w:r w:rsidRPr="00FC111F">
      <w:rPr>
        <w:rFonts w:ascii="Calibri" w:hAnsi="Calibri"/>
        <w:sz w:val="16"/>
        <w:szCs w:val="16"/>
      </w:rPr>
      <w:t xml:space="preserve">Open Session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07FCB" w14:textId="77777777" w:rsidR="00773418" w:rsidRDefault="00773418">
      <w:r>
        <w:separator/>
      </w:r>
    </w:p>
  </w:footnote>
  <w:footnote w:type="continuationSeparator" w:id="0">
    <w:p w14:paraId="719DA01E" w14:textId="77777777" w:rsidR="00773418" w:rsidRDefault="00773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9294" w14:textId="192F1492" w:rsidR="00FF57D2" w:rsidRPr="00FC111F" w:rsidRDefault="00FC111F" w:rsidP="00FC111F">
    <w:pPr>
      <w:jc w:val="right"/>
      <w:rPr>
        <w:rFonts w:ascii="Calibri" w:hAnsi="Calibri" w:cs="Calibri"/>
        <w:sz w:val="24"/>
        <w:szCs w:val="24"/>
      </w:rPr>
    </w:pPr>
    <w:r w:rsidRPr="00FC111F">
      <w:rPr>
        <w:rFonts w:ascii="Calibri" w:hAnsi="Calibri"/>
        <w:sz w:val="24"/>
        <w:szCs w:val="24"/>
      </w:rPr>
      <w:t xml:space="preserve">Continuation of Agenda </w:t>
    </w:r>
    <w:proofErr w:type="gramStart"/>
    <w:r w:rsidRPr="00FC111F">
      <w:rPr>
        <w:rFonts w:ascii="Calibri" w:hAnsi="Calibri"/>
        <w:sz w:val="24"/>
        <w:szCs w:val="24"/>
      </w:rPr>
      <w:t>Item</w:t>
    </w:r>
    <w:r w:rsidR="0008581F">
      <w:rPr>
        <w:rFonts w:ascii="Calibri" w:hAnsi="Calibri"/>
        <w:sz w:val="24"/>
        <w:szCs w:val="24"/>
      </w:rPr>
      <w:t xml:space="preserve"> </w:t>
    </w:r>
    <w:r w:rsidR="0030612D">
      <w:rPr>
        <w:rFonts w:ascii="Calibri" w:hAnsi="Calibri"/>
        <w:sz w:val="24"/>
        <w:szCs w:val="24"/>
      </w:rPr>
      <w:t xml:space="preserve"> 6</w:t>
    </w:r>
    <w:proofErr w:type="gramEnd"/>
    <w:r w:rsidR="00FF57D2" w:rsidRPr="00FC111F">
      <w:rPr>
        <w:rFonts w:ascii="Calibri" w:hAnsi="Calibri"/>
        <w:sz w:val="24"/>
        <w:szCs w:val="24"/>
      </w:rPr>
      <w:br w:type="page"/>
    </w:r>
    <w:r w:rsidR="00AC7E02" w:rsidRPr="00FC111F">
      <w:rPr>
        <w:rFonts w:ascii="Calibri" w:hAnsi="Calibri" w:cs="Calibri"/>
        <w:sz w:val="24"/>
        <w:szCs w:val="24"/>
      </w:rPr>
      <w:t xml:space="preserve"> </w:t>
    </w:r>
    <w:r w:rsidR="00FF57D2" w:rsidRPr="00FC111F">
      <w:rPr>
        <w:rFonts w:ascii="Calibri" w:hAnsi="Calibri" w:cs="Calibri"/>
        <w:sz w:val="24"/>
        <w:szCs w:val="24"/>
      </w:rPr>
      <w:fldChar w:fldCharType="begin"/>
    </w:r>
    <w:r w:rsidR="00FF57D2" w:rsidRPr="00FC111F">
      <w:rPr>
        <w:rFonts w:ascii="Calibri" w:hAnsi="Calibri" w:cs="Calibri"/>
        <w:sz w:val="24"/>
        <w:szCs w:val="24"/>
      </w:rPr>
      <w:instrText xml:space="preserve"> QUOTE   \* MERGEFORMAT </w:instrText>
    </w:r>
    <w:r w:rsidR="00FF57D2" w:rsidRPr="00FC111F">
      <w:rPr>
        <w:rFonts w:ascii="Calibri" w:hAnsi="Calibri" w:cs="Calibri"/>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1B9"/>
    <w:multiLevelType w:val="hybridMultilevel"/>
    <w:tmpl w:val="3822D4CE"/>
    <w:lvl w:ilvl="0" w:tplc="EF2CFE72">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3498F"/>
    <w:multiLevelType w:val="hybridMultilevel"/>
    <w:tmpl w:val="68A02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F10A9"/>
    <w:multiLevelType w:val="hybridMultilevel"/>
    <w:tmpl w:val="C332E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666B7"/>
    <w:multiLevelType w:val="hybridMultilevel"/>
    <w:tmpl w:val="BE58EDD0"/>
    <w:lvl w:ilvl="0" w:tplc="C95686F8">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80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9121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3132CF"/>
    <w:multiLevelType w:val="hybridMultilevel"/>
    <w:tmpl w:val="F500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871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FB0BC7"/>
    <w:multiLevelType w:val="hybridMultilevel"/>
    <w:tmpl w:val="EDD2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71E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E775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C2599E"/>
    <w:multiLevelType w:val="hybridMultilevel"/>
    <w:tmpl w:val="9166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944DE7"/>
    <w:multiLevelType w:val="hybridMultilevel"/>
    <w:tmpl w:val="92DEFA16"/>
    <w:lvl w:ilvl="0" w:tplc="7FB6D0E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3E38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6D2F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F62EFE"/>
    <w:multiLevelType w:val="hybridMultilevel"/>
    <w:tmpl w:val="1DF0F7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7F726E"/>
    <w:multiLevelType w:val="hybridMultilevel"/>
    <w:tmpl w:val="6A941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A11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4B5F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CE376B"/>
    <w:multiLevelType w:val="hybridMultilevel"/>
    <w:tmpl w:val="299E1454"/>
    <w:lvl w:ilvl="0" w:tplc="1E0C3810">
      <w:start w:val="1"/>
      <w:numFmt w:val="lowerLetter"/>
      <w:lvlText w:val="(%1)"/>
      <w:lvlJc w:val="left"/>
      <w:pPr>
        <w:ind w:left="1102" w:hanging="360"/>
      </w:pPr>
      <w:rPr>
        <w:rFonts w:hint="default"/>
      </w:rPr>
    </w:lvl>
    <w:lvl w:ilvl="1" w:tplc="08090019" w:tentative="1">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20" w15:restartNumberingAfterBreak="0">
    <w:nsid w:val="4AB07694"/>
    <w:multiLevelType w:val="hybridMultilevel"/>
    <w:tmpl w:val="A7EC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25551B"/>
    <w:multiLevelType w:val="hybridMultilevel"/>
    <w:tmpl w:val="653E5D3E"/>
    <w:lvl w:ilvl="0" w:tplc="41C4894C">
      <w:start w:val="1"/>
      <w:numFmt w:val="lowerRoman"/>
      <w:lvlText w:val="%1."/>
      <w:lvlJc w:val="right"/>
      <w:pPr>
        <w:tabs>
          <w:tab w:val="num" w:pos="340"/>
        </w:tabs>
        <w:ind w:left="340" w:hanging="52"/>
      </w:pPr>
      <w:rPr>
        <w:rFonts w:ascii="Helvetica 65 Medium" w:hAnsi="Helvetica 65 Medium"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DE0FD4"/>
    <w:multiLevelType w:val="hybridMultilevel"/>
    <w:tmpl w:val="D9621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C43322"/>
    <w:multiLevelType w:val="hybridMultilevel"/>
    <w:tmpl w:val="790C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F32A66"/>
    <w:multiLevelType w:val="hybridMultilevel"/>
    <w:tmpl w:val="6708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9877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C2296F"/>
    <w:multiLevelType w:val="hybridMultilevel"/>
    <w:tmpl w:val="97F65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A26670"/>
    <w:multiLevelType w:val="hybridMultilevel"/>
    <w:tmpl w:val="1D8C04EC"/>
    <w:lvl w:ilvl="0" w:tplc="376444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BD5C1E"/>
    <w:multiLevelType w:val="hybridMultilevel"/>
    <w:tmpl w:val="8130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863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35466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0"/>
  </w:num>
  <w:num w:numId="3">
    <w:abstractNumId w:val="3"/>
  </w:num>
  <w:num w:numId="4">
    <w:abstractNumId w:val="1"/>
  </w:num>
  <w:num w:numId="5">
    <w:abstractNumId w:val="12"/>
  </w:num>
  <w:num w:numId="6">
    <w:abstractNumId w:val="10"/>
  </w:num>
  <w:num w:numId="7">
    <w:abstractNumId w:val="25"/>
  </w:num>
  <w:num w:numId="8">
    <w:abstractNumId w:val="17"/>
  </w:num>
  <w:num w:numId="9">
    <w:abstractNumId w:val="14"/>
  </w:num>
  <w:num w:numId="10">
    <w:abstractNumId w:val="13"/>
  </w:num>
  <w:num w:numId="11">
    <w:abstractNumId w:val="9"/>
  </w:num>
  <w:num w:numId="12">
    <w:abstractNumId w:val="5"/>
  </w:num>
  <w:num w:numId="13">
    <w:abstractNumId w:val="18"/>
  </w:num>
  <w:num w:numId="14">
    <w:abstractNumId w:val="29"/>
  </w:num>
  <w:num w:numId="15">
    <w:abstractNumId w:val="7"/>
  </w:num>
  <w:num w:numId="16">
    <w:abstractNumId w:val="4"/>
  </w:num>
  <w:num w:numId="17">
    <w:abstractNumId w:val="30"/>
  </w:num>
  <w:num w:numId="18">
    <w:abstractNumId w:val="20"/>
  </w:num>
  <w:num w:numId="19">
    <w:abstractNumId w:val="28"/>
  </w:num>
  <w:num w:numId="20">
    <w:abstractNumId w:val="22"/>
  </w:num>
  <w:num w:numId="21">
    <w:abstractNumId w:val="26"/>
  </w:num>
  <w:num w:numId="22">
    <w:abstractNumId w:val="6"/>
  </w:num>
  <w:num w:numId="23">
    <w:abstractNumId w:val="23"/>
  </w:num>
  <w:num w:numId="24">
    <w:abstractNumId w:val="24"/>
  </w:num>
  <w:num w:numId="25">
    <w:abstractNumId w:val="16"/>
  </w:num>
  <w:num w:numId="26">
    <w:abstractNumId w:val="15"/>
  </w:num>
  <w:num w:numId="27">
    <w:abstractNumId w:val="19"/>
  </w:num>
  <w:num w:numId="28">
    <w:abstractNumId w:val="27"/>
  </w:num>
  <w:num w:numId="29">
    <w:abstractNumId w:val="11"/>
  </w:num>
  <w:num w:numId="30">
    <w:abstractNumId w:val="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90"/>
    <w:rsid w:val="000044D8"/>
    <w:rsid w:val="00005B83"/>
    <w:rsid w:val="00012EE9"/>
    <w:rsid w:val="0001471C"/>
    <w:rsid w:val="000205C1"/>
    <w:rsid w:val="00024D37"/>
    <w:rsid w:val="0003256F"/>
    <w:rsid w:val="00034550"/>
    <w:rsid w:val="00040CD9"/>
    <w:rsid w:val="00041C07"/>
    <w:rsid w:val="000473AD"/>
    <w:rsid w:val="00051519"/>
    <w:rsid w:val="00051533"/>
    <w:rsid w:val="000552AB"/>
    <w:rsid w:val="0006597F"/>
    <w:rsid w:val="0008019B"/>
    <w:rsid w:val="00083A8D"/>
    <w:rsid w:val="00083B15"/>
    <w:rsid w:val="0008581F"/>
    <w:rsid w:val="000A327B"/>
    <w:rsid w:val="000A63A2"/>
    <w:rsid w:val="000C067C"/>
    <w:rsid w:val="000C14CB"/>
    <w:rsid w:val="000C2081"/>
    <w:rsid w:val="000C30B6"/>
    <w:rsid w:val="000C36C6"/>
    <w:rsid w:val="000C44E0"/>
    <w:rsid w:val="000C644D"/>
    <w:rsid w:val="000C6544"/>
    <w:rsid w:val="000D0812"/>
    <w:rsid w:val="000D1D67"/>
    <w:rsid w:val="000E4626"/>
    <w:rsid w:val="000E5497"/>
    <w:rsid w:val="000E6913"/>
    <w:rsid w:val="000E730C"/>
    <w:rsid w:val="000F28C6"/>
    <w:rsid w:val="000F777A"/>
    <w:rsid w:val="000F7C8F"/>
    <w:rsid w:val="0010169D"/>
    <w:rsid w:val="00101B16"/>
    <w:rsid w:val="00102268"/>
    <w:rsid w:val="00102A9F"/>
    <w:rsid w:val="00104CBF"/>
    <w:rsid w:val="00104F3E"/>
    <w:rsid w:val="00104FBE"/>
    <w:rsid w:val="00111B11"/>
    <w:rsid w:val="001156A1"/>
    <w:rsid w:val="00116D56"/>
    <w:rsid w:val="00120E71"/>
    <w:rsid w:val="00121212"/>
    <w:rsid w:val="0012250C"/>
    <w:rsid w:val="001231B0"/>
    <w:rsid w:val="0012569E"/>
    <w:rsid w:val="00131386"/>
    <w:rsid w:val="001325D4"/>
    <w:rsid w:val="00151E18"/>
    <w:rsid w:val="00152D63"/>
    <w:rsid w:val="0015319D"/>
    <w:rsid w:val="00155129"/>
    <w:rsid w:val="001628F6"/>
    <w:rsid w:val="0016390A"/>
    <w:rsid w:val="001800D9"/>
    <w:rsid w:val="0019191A"/>
    <w:rsid w:val="001934B9"/>
    <w:rsid w:val="001977EC"/>
    <w:rsid w:val="00197CE8"/>
    <w:rsid w:val="001A4A14"/>
    <w:rsid w:val="001A4BFA"/>
    <w:rsid w:val="001A6473"/>
    <w:rsid w:val="001A6CF1"/>
    <w:rsid w:val="001B1863"/>
    <w:rsid w:val="001C1358"/>
    <w:rsid w:val="001C428C"/>
    <w:rsid w:val="001C7190"/>
    <w:rsid w:val="001D2209"/>
    <w:rsid w:val="001E021C"/>
    <w:rsid w:val="001E1EFD"/>
    <w:rsid w:val="001F1224"/>
    <w:rsid w:val="001F2EF8"/>
    <w:rsid w:val="001F35E0"/>
    <w:rsid w:val="001F71B4"/>
    <w:rsid w:val="00211D96"/>
    <w:rsid w:val="00220D76"/>
    <w:rsid w:val="00222837"/>
    <w:rsid w:val="0022306A"/>
    <w:rsid w:val="00223411"/>
    <w:rsid w:val="002238C2"/>
    <w:rsid w:val="00224BEA"/>
    <w:rsid w:val="00233502"/>
    <w:rsid w:val="0023608A"/>
    <w:rsid w:val="00241CB9"/>
    <w:rsid w:val="00241E2E"/>
    <w:rsid w:val="002438DB"/>
    <w:rsid w:val="002525C0"/>
    <w:rsid w:val="00254562"/>
    <w:rsid w:val="002667A5"/>
    <w:rsid w:val="002745C9"/>
    <w:rsid w:val="002818DB"/>
    <w:rsid w:val="00290707"/>
    <w:rsid w:val="002937BF"/>
    <w:rsid w:val="002C17B9"/>
    <w:rsid w:val="002C4F8D"/>
    <w:rsid w:val="002E2334"/>
    <w:rsid w:val="002E653F"/>
    <w:rsid w:val="002F204B"/>
    <w:rsid w:val="002F5DBF"/>
    <w:rsid w:val="0030612D"/>
    <w:rsid w:val="003201E6"/>
    <w:rsid w:val="00323AA7"/>
    <w:rsid w:val="003339C7"/>
    <w:rsid w:val="00337C05"/>
    <w:rsid w:val="003443F1"/>
    <w:rsid w:val="003462CB"/>
    <w:rsid w:val="00350AAA"/>
    <w:rsid w:val="0035263D"/>
    <w:rsid w:val="00353BB5"/>
    <w:rsid w:val="00354A0D"/>
    <w:rsid w:val="00361FD2"/>
    <w:rsid w:val="003659ED"/>
    <w:rsid w:val="00371372"/>
    <w:rsid w:val="00373B52"/>
    <w:rsid w:val="003767D4"/>
    <w:rsid w:val="00380116"/>
    <w:rsid w:val="00392149"/>
    <w:rsid w:val="003A10E2"/>
    <w:rsid w:val="003A54E0"/>
    <w:rsid w:val="003B198D"/>
    <w:rsid w:val="003B2B44"/>
    <w:rsid w:val="003B6D8C"/>
    <w:rsid w:val="003C3E78"/>
    <w:rsid w:val="003C4F1D"/>
    <w:rsid w:val="003D2202"/>
    <w:rsid w:val="003D41F3"/>
    <w:rsid w:val="003E1BE3"/>
    <w:rsid w:val="003E5FDC"/>
    <w:rsid w:val="003F2504"/>
    <w:rsid w:val="003F4696"/>
    <w:rsid w:val="003F5F2A"/>
    <w:rsid w:val="003F6506"/>
    <w:rsid w:val="004016E7"/>
    <w:rsid w:val="0042145F"/>
    <w:rsid w:val="00421D4B"/>
    <w:rsid w:val="004235CB"/>
    <w:rsid w:val="0042428A"/>
    <w:rsid w:val="00424D45"/>
    <w:rsid w:val="00432CA1"/>
    <w:rsid w:val="00433C1F"/>
    <w:rsid w:val="0043684E"/>
    <w:rsid w:val="004420E6"/>
    <w:rsid w:val="00447C0B"/>
    <w:rsid w:val="00451033"/>
    <w:rsid w:val="004526A6"/>
    <w:rsid w:val="004612BE"/>
    <w:rsid w:val="0046791A"/>
    <w:rsid w:val="004702F4"/>
    <w:rsid w:val="00483259"/>
    <w:rsid w:val="0049670E"/>
    <w:rsid w:val="004979BA"/>
    <w:rsid w:val="004A196E"/>
    <w:rsid w:val="004B4E38"/>
    <w:rsid w:val="004B4EBA"/>
    <w:rsid w:val="004C2409"/>
    <w:rsid w:val="004C5569"/>
    <w:rsid w:val="004C583A"/>
    <w:rsid w:val="004D71C3"/>
    <w:rsid w:val="004E01AB"/>
    <w:rsid w:val="004E0D3C"/>
    <w:rsid w:val="004E7876"/>
    <w:rsid w:val="004F23A0"/>
    <w:rsid w:val="004F39ED"/>
    <w:rsid w:val="004F4FA5"/>
    <w:rsid w:val="005016C3"/>
    <w:rsid w:val="0050369D"/>
    <w:rsid w:val="005106CD"/>
    <w:rsid w:val="005163E2"/>
    <w:rsid w:val="00517BF4"/>
    <w:rsid w:val="005225F7"/>
    <w:rsid w:val="00523614"/>
    <w:rsid w:val="00523CEA"/>
    <w:rsid w:val="005249F9"/>
    <w:rsid w:val="005278FA"/>
    <w:rsid w:val="005357D4"/>
    <w:rsid w:val="00540C82"/>
    <w:rsid w:val="005579DA"/>
    <w:rsid w:val="00562390"/>
    <w:rsid w:val="0056733D"/>
    <w:rsid w:val="005733A4"/>
    <w:rsid w:val="0057371F"/>
    <w:rsid w:val="0057381D"/>
    <w:rsid w:val="005838C8"/>
    <w:rsid w:val="00595F38"/>
    <w:rsid w:val="00596829"/>
    <w:rsid w:val="00596E1B"/>
    <w:rsid w:val="005A354B"/>
    <w:rsid w:val="005A436D"/>
    <w:rsid w:val="005B04D9"/>
    <w:rsid w:val="005B5108"/>
    <w:rsid w:val="005D06EA"/>
    <w:rsid w:val="005D356A"/>
    <w:rsid w:val="005D5486"/>
    <w:rsid w:val="005D5773"/>
    <w:rsid w:val="005E75E4"/>
    <w:rsid w:val="00603509"/>
    <w:rsid w:val="00603B1E"/>
    <w:rsid w:val="006061C8"/>
    <w:rsid w:val="00607224"/>
    <w:rsid w:val="00612FDC"/>
    <w:rsid w:val="00622055"/>
    <w:rsid w:val="006234CE"/>
    <w:rsid w:val="00623A0D"/>
    <w:rsid w:val="00624B5C"/>
    <w:rsid w:val="00633785"/>
    <w:rsid w:val="00635EEF"/>
    <w:rsid w:val="006374FB"/>
    <w:rsid w:val="0064461B"/>
    <w:rsid w:val="00647B05"/>
    <w:rsid w:val="00654751"/>
    <w:rsid w:val="00657792"/>
    <w:rsid w:val="0067000F"/>
    <w:rsid w:val="006831BA"/>
    <w:rsid w:val="0068739F"/>
    <w:rsid w:val="00694D37"/>
    <w:rsid w:val="006A1058"/>
    <w:rsid w:val="006B3F94"/>
    <w:rsid w:val="006B507A"/>
    <w:rsid w:val="006B5BD6"/>
    <w:rsid w:val="006B6EA3"/>
    <w:rsid w:val="006C022F"/>
    <w:rsid w:val="006C0DDC"/>
    <w:rsid w:val="006C2B50"/>
    <w:rsid w:val="006D5E7C"/>
    <w:rsid w:val="006E4778"/>
    <w:rsid w:val="006F2E13"/>
    <w:rsid w:val="006F7F3D"/>
    <w:rsid w:val="0070645A"/>
    <w:rsid w:val="00707B87"/>
    <w:rsid w:val="00707C2B"/>
    <w:rsid w:val="0071097D"/>
    <w:rsid w:val="00714A11"/>
    <w:rsid w:val="00720BBB"/>
    <w:rsid w:val="00724755"/>
    <w:rsid w:val="00727CCC"/>
    <w:rsid w:val="007324C5"/>
    <w:rsid w:val="0073540A"/>
    <w:rsid w:val="00741239"/>
    <w:rsid w:val="0074205D"/>
    <w:rsid w:val="00745B82"/>
    <w:rsid w:val="00756534"/>
    <w:rsid w:val="00757B82"/>
    <w:rsid w:val="00761F72"/>
    <w:rsid w:val="00764075"/>
    <w:rsid w:val="00773418"/>
    <w:rsid w:val="007925C5"/>
    <w:rsid w:val="007A7CBC"/>
    <w:rsid w:val="007C0637"/>
    <w:rsid w:val="007C483F"/>
    <w:rsid w:val="007C4F1E"/>
    <w:rsid w:val="007D0145"/>
    <w:rsid w:val="007D2066"/>
    <w:rsid w:val="007D30B9"/>
    <w:rsid w:val="007F594C"/>
    <w:rsid w:val="007F679A"/>
    <w:rsid w:val="0080116D"/>
    <w:rsid w:val="008026D0"/>
    <w:rsid w:val="00804E29"/>
    <w:rsid w:val="0080542D"/>
    <w:rsid w:val="008133E5"/>
    <w:rsid w:val="008239BB"/>
    <w:rsid w:val="00832822"/>
    <w:rsid w:val="00833324"/>
    <w:rsid w:val="00833A84"/>
    <w:rsid w:val="00833E88"/>
    <w:rsid w:val="00833EF8"/>
    <w:rsid w:val="00835E07"/>
    <w:rsid w:val="00842819"/>
    <w:rsid w:val="00854899"/>
    <w:rsid w:val="0086129B"/>
    <w:rsid w:val="0087081B"/>
    <w:rsid w:val="00871EB6"/>
    <w:rsid w:val="008752EE"/>
    <w:rsid w:val="008763E9"/>
    <w:rsid w:val="008840D7"/>
    <w:rsid w:val="00886A27"/>
    <w:rsid w:val="008872E0"/>
    <w:rsid w:val="00891DAC"/>
    <w:rsid w:val="00894596"/>
    <w:rsid w:val="008A7221"/>
    <w:rsid w:val="008B286B"/>
    <w:rsid w:val="008B40B6"/>
    <w:rsid w:val="008C1549"/>
    <w:rsid w:val="008C205B"/>
    <w:rsid w:val="008C4B69"/>
    <w:rsid w:val="008D048F"/>
    <w:rsid w:val="008D2566"/>
    <w:rsid w:val="008D578F"/>
    <w:rsid w:val="008E66DA"/>
    <w:rsid w:val="00901A18"/>
    <w:rsid w:val="00902FCF"/>
    <w:rsid w:val="00905D56"/>
    <w:rsid w:val="009112FF"/>
    <w:rsid w:val="0091331B"/>
    <w:rsid w:val="00915D2C"/>
    <w:rsid w:val="00922807"/>
    <w:rsid w:val="009302BC"/>
    <w:rsid w:val="009316B0"/>
    <w:rsid w:val="00941C2F"/>
    <w:rsid w:val="00943147"/>
    <w:rsid w:val="00943FC4"/>
    <w:rsid w:val="009512C1"/>
    <w:rsid w:val="00955243"/>
    <w:rsid w:val="0096111F"/>
    <w:rsid w:val="00971321"/>
    <w:rsid w:val="0097331E"/>
    <w:rsid w:val="00973FD5"/>
    <w:rsid w:val="00976EAA"/>
    <w:rsid w:val="009868F9"/>
    <w:rsid w:val="009A2F4B"/>
    <w:rsid w:val="009B2B95"/>
    <w:rsid w:val="009D04EB"/>
    <w:rsid w:val="009D04FF"/>
    <w:rsid w:val="009D176E"/>
    <w:rsid w:val="009D46EF"/>
    <w:rsid w:val="009E20DE"/>
    <w:rsid w:val="009E30FA"/>
    <w:rsid w:val="009E3192"/>
    <w:rsid w:val="009E6E06"/>
    <w:rsid w:val="009F10A1"/>
    <w:rsid w:val="009F16B6"/>
    <w:rsid w:val="00A010AC"/>
    <w:rsid w:val="00A02327"/>
    <w:rsid w:val="00A05DA2"/>
    <w:rsid w:val="00A11E4E"/>
    <w:rsid w:val="00A217C4"/>
    <w:rsid w:val="00A23EFF"/>
    <w:rsid w:val="00A314F2"/>
    <w:rsid w:val="00A318A6"/>
    <w:rsid w:val="00A3277C"/>
    <w:rsid w:val="00A35F47"/>
    <w:rsid w:val="00A3734E"/>
    <w:rsid w:val="00A44AF1"/>
    <w:rsid w:val="00A45F9B"/>
    <w:rsid w:val="00A46771"/>
    <w:rsid w:val="00A55218"/>
    <w:rsid w:val="00A55890"/>
    <w:rsid w:val="00A6444A"/>
    <w:rsid w:val="00A66E7F"/>
    <w:rsid w:val="00A71BAF"/>
    <w:rsid w:val="00A72692"/>
    <w:rsid w:val="00A840A0"/>
    <w:rsid w:val="00A87549"/>
    <w:rsid w:val="00A908A0"/>
    <w:rsid w:val="00A974FC"/>
    <w:rsid w:val="00AA6234"/>
    <w:rsid w:val="00AB16F0"/>
    <w:rsid w:val="00AB1AE7"/>
    <w:rsid w:val="00AB508F"/>
    <w:rsid w:val="00AC2445"/>
    <w:rsid w:val="00AC3FE2"/>
    <w:rsid w:val="00AC4BA1"/>
    <w:rsid w:val="00AC74F8"/>
    <w:rsid w:val="00AC7E02"/>
    <w:rsid w:val="00AD5356"/>
    <w:rsid w:val="00AD575E"/>
    <w:rsid w:val="00AE136E"/>
    <w:rsid w:val="00AE1AA2"/>
    <w:rsid w:val="00AE1E54"/>
    <w:rsid w:val="00AF00D7"/>
    <w:rsid w:val="00AF13DC"/>
    <w:rsid w:val="00AF3E50"/>
    <w:rsid w:val="00B00031"/>
    <w:rsid w:val="00B03A81"/>
    <w:rsid w:val="00B05892"/>
    <w:rsid w:val="00B0636E"/>
    <w:rsid w:val="00B15CB9"/>
    <w:rsid w:val="00B35843"/>
    <w:rsid w:val="00B40EB9"/>
    <w:rsid w:val="00B470EA"/>
    <w:rsid w:val="00B5062D"/>
    <w:rsid w:val="00B53473"/>
    <w:rsid w:val="00B54752"/>
    <w:rsid w:val="00B56D8E"/>
    <w:rsid w:val="00B623DA"/>
    <w:rsid w:val="00B62B1C"/>
    <w:rsid w:val="00B634E8"/>
    <w:rsid w:val="00B656D8"/>
    <w:rsid w:val="00B71473"/>
    <w:rsid w:val="00B730AC"/>
    <w:rsid w:val="00B84527"/>
    <w:rsid w:val="00B926DB"/>
    <w:rsid w:val="00B966F5"/>
    <w:rsid w:val="00BA15AB"/>
    <w:rsid w:val="00BA6F60"/>
    <w:rsid w:val="00BB32D4"/>
    <w:rsid w:val="00BB73E0"/>
    <w:rsid w:val="00BC3C62"/>
    <w:rsid w:val="00BC7DF9"/>
    <w:rsid w:val="00BD2C92"/>
    <w:rsid w:val="00BD64E3"/>
    <w:rsid w:val="00BE015A"/>
    <w:rsid w:val="00BF707F"/>
    <w:rsid w:val="00C010CC"/>
    <w:rsid w:val="00C12BE9"/>
    <w:rsid w:val="00C12E46"/>
    <w:rsid w:val="00C17258"/>
    <w:rsid w:val="00C25E35"/>
    <w:rsid w:val="00C271B8"/>
    <w:rsid w:val="00C43F59"/>
    <w:rsid w:val="00C4677F"/>
    <w:rsid w:val="00C649C8"/>
    <w:rsid w:val="00C70F93"/>
    <w:rsid w:val="00C7435E"/>
    <w:rsid w:val="00C80270"/>
    <w:rsid w:val="00C849CA"/>
    <w:rsid w:val="00C84DCA"/>
    <w:rsid w:val="00C87B8A"/>
    <w:rsid w:val="00C927EE"/>
    <w:rsid w:val="00CB1C1C"/>
    <w:rsid w:val="00CB2D61"/>
    <w:rsid w:val="00CC5275"/>
    <w:rsid w:val="00CD17D4"/>
    <w:rsid w:val="00CD50D2"/>
    <w:rsid w:val="00CD5401"/>
    <w:rsid w:val="00CD7807"/>
    <w:rsid w:val="00CE10AA"/>
    <w:rsid w:val="00CE1F09"/>
    <w:rsid w:val="00CE26C4"/>
    <w:rsid w:val="00CE2ADB"/>
    <w:rsid w:val="00CE6FCC"/>
    <w:rsid w:val="00CF015A"/>
    <w:rsid w:val="00CF059B"/>
    <w:rsid w:val="00CF52A8"/>
    <w:rsid w:val="00CF7C88"/>
    <w:rsid w:val="00D03967"/>
    <w:rsid w:val="00D10E5B"/>
    <w:rsid w:val="00D168CC"/>
    <w:rsid w:val="00D173AF"/>
    <w:rsid w:val="00D20421"/>
    <w:rsid w:val="00D21418"/>
    <w:rsid w:val="00D34140"/>
    <w:rsid w:val="00D36C19"/>
    <w:rsid w:val="00D416B0"/>
    <w:rsid w:val="00D42C64"/>
    <w:rsid w:val="00D42E06"/>
    <w:rsid w:val="00D60AC9"/>
    <w:rsid w:val="00D65FA7"/>
    <w:rsid w:val="00D740A0"/>
    <w:rsid w:val="00D74954"/>
    <w:rsid w:val="00D75CD2"/>
    <w:rsid w:val="00D80101"/>
    <w:rsid w:val="00D805E9"/>
    <w:rsid w:val="00D813C1"/>
    <w:rsid w:val="00D82549"/>
    <w:rsid w:val="00D85B31"/>
    <w:rsid w:val="00D86B4A"/>
    <w:rsid w:val="00D9050B"/>
    <w:rsid w:val="00DB1CCA"/>
    <w:rsid w:val="00DB2703"/>
    <w:rsid w:val="00DB2D00"/>
    <w:rsid w:val="00DC07B6"/>
    <w:rsid w:val="00DC2680"/>
    <w:rsid w:val="00DC601D"/>
    <w:rsid w:val="00DD09B6"/>
    <w:rsid w:val="00DD3F04"/>
    <w:rsid w:val="00DD5250"/>
    <w:rsid w:val="00DE08F0"/>
    <w:rsid w:val="00DE47E5"/>
    <w:rsid w:val="00DF4765"/>
    <w:rsid w:val="00E01DDC"/>
    <w:rsid w:val="00E20662"/>
    <w:rsid w:val="00E24A5F"/>
    <w:rsid w:val="00E26977"/>
    <w:rsid w:val="00E327D4"/>
    <w:rsid w:val="00E34285"/>
    <w:rsid w:val="00E3428E"/>
    <w:rsid w:val="00E36B3A"/>
    <w:rsid w:val="00E4051F"/>
    <w:rsid w:val="00E4389F"/>
    <w:rsid w:val="00E43A50"/>
    <w:rsid w:val="00E43C39"/>
    <w:rsid w:val="00E44EE8"/>
    <w:rsid w:val="00E64651"/>
    <w:rsid w:val="00E720ED"/>
    <w:rsid w:val="00E74669"/>
    <w:rsid w:val="00E87506"/>
    <w:rsid w:val="00E87CD1"/>
    <w:rsid w:val="00E92FB7"/>
    <w:rsid w:val="00E9361C"/>
    <w:rsid w:val="00E950D4"/>
    <w:rsid w:val="00E97A60"/>
    <w:rsid w:val="00EA1AC5"/>
    <w:rsid w:val="00EC1707"/>
    <w:rsid w:val="00EC41F2"/>
    <w:rsid w:val="00EC7CEE"/>
    <w:rsid w:val="00ED1A7A"/>
    <w:rsid w:val="00ED2874"/>
    <w:rsid w:val="00ED2B27"/>
    <w:rsid w:val="00ED4D13"/>
    <w:rsid w:val="00EF1DCB"/>
    <w:rsid w:val="00EF22B0"/>
    <w:rsid w:val="00EF5C48"/>
    <w:rsid w:val="00F045BA"/>
    <w:rsid w:val="00F07C9A"/>
    <w:rsid w:val="00F114CD"/>
    <w:rsid w:val="00F13DFB"/>
    <w:rsid w:val="00F142A0"/>
    <w:rsid w:val="00F26226"/>
    <w:rsid w:val="00F335EC"/>
    <w:rsid w:val="00F33A7F"/>
    <w:rsid w:val="00F34A4D"/>
    <w:rsid w:val="00F353A7"/>
    <w:rsid w:val="00F44E2D"/>
    <w:rsid w:val="00F45379"/>
    <w:rsid w:val="00F5042D"/>
    <w:rsid w:val="00F505FE"/>
    <w:rsid w:val="00F611DF"/>
    <w:rsid w:val="00F63BDD"/>
    <w:rsid w:val="00F75CA3"/>
    <w:rsid w:val="00F77EAD"/>
    <w:rsid w:val="00F8755F"/>
    <w:rsid w:val="00FA33A1"/>
    <w:rsid w:val="00FB0C3C"/>
    <w:rsid w:val="00FB5DC3"/>
    <w:rsid w:val="00FC111F"/>
    <w:rsid w:val="00FC18F2"/>
    <w:rsid w:val="00FC1990"/>
    <w:rsid w:val="00FC271E"/>
    <w:rsid w:val="00FE5A6A"/>
    <w:rsid w:val="00FE726F"/>
    <w:rsid w:val="00FF0C77"/>
    <w:rsid w:val="00FF5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0F5F2F85"/>
  <w15:docId w15:val="{17C5D85C-9AA9-4471-950A-EE0C0A0C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rsid w:val="00D42E06"/>
    <w:pPr>
      <w:keepNext/>
      <w:jc w:val="center"/>
      <w:outlineLvl w:val="0"/>
    </w:pPr>
    <w:rPr>
      <w:rFonts w:ascii="Helvetica 45 Light" w:hAnsi="Helvetica 45 Light"/>
      <w:sz w:val="24"/>
      <w:lang w:val="en-US"/>
    </w:rPr>
  </w:style>
  <w:style w:type="paragraph" w:styleId="Heading3">
    <w:name w:val="heading 3"/>
    <w:basedOn w:val="Normal"/>
    <w:next w:val="Normal"/>
    <w:link w:val="Heading3Char"/>
    <w:uiPriority w:val="9"/>
    <w:semiHidden/>
    <w:unhideWhenUsed/>
    <w:qFormat/>
    <w:rsid w:val="00D805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54751"/>
    <w:rPr>
      <w:rFonts w:ascii="Tahoma" w:hAnsi="Tahoma" w:cs="Tahoma"/>
      <w:sz w:val="16"/>
      <w:szCs w:val="16"/>
    </w:rPr>
  </w:style>
  <w:style w:type="paragraph" w:styleId="Header">
    <w:name w:val="header"/>
    <w:basedOn w:val="Normal"/>
    <w:rsid w:val="00102268"/>
    <w:pPr>
      <w:tabs>
        <w:tab w:val="center" w:pos="4320"/>
        <w:tab w:val="right" w:pos="8640"/>
      </w:tabs>
    </w:pPr>
  </w:style>
  <w:style w:type="paragraph" w:styleId="Footer">
    <w:name w:val="footer"/>
    <w:basedOn w:val="Normal"/>
    <w:rsid w:val="00102268"/>
    <w:pPr>
      <w:tabs>
        <w:tab w:val="center" w:pos="4320"/>
        <w:tab w:val="right" w:pos="8640"/>
      </w:tabs>
    </w:pPr>
  </w:style>
  <w:style w:type="character" w:styleId="Hyperlink">
    <w:name w:val="Hyperlink"/>
    <w:rsid w:val="001A6473"/>
    <w:rPr>
      <w:color w:val="0000FF"/>
      <w:u w:val="single"/>
    </w:rPr>
  </w:style>
  <w:style w:type="character" w:styleId="FollowedHyperlink">
    <w:name w:val="FollowedHyperlink"/>
    <w:rsid w:val="009112FF"/>
    <w:rPr>
      <w:color w:val="800080"/>
      <w:u w:val="single"/>
    </w:rPr>
  </w:style>
  <w:style w:type="paragraph" w:styleId="FootnoteText">
    <w:name w:val="footnote text"/>
    <w:basedOn w:val="Normal"/>
    <w:link w:val="FootnoteTextChar"/>
    <w:uiPriority w:val="99"/>
    <w:semiHidden/>
    <w:unhideWhenUsed/>
    <w:rsid w:val="00517BF4"/>
  </w:style>
  <w:style w:type="character" w:customStyle="1" w:styleId="FootnoteTextChar">
    <w:name w:val="Footnote Text Char"/>
    <w:basedOn w:val="DefaultParagraphFont"/>
    <w:link w:val="FootnoteText"/>
    <w:uiPriority w:val="99"/>
    <w:semiHidden/>
    <w:rsid w:val="00517BF4"/>
    <w:rPr>
      <w:lang w:eastAsia="en-US"/>
    </w:rPr>
  </w:style>
  <w:style w:type="character" w:styleId="FootnoteReference">
    <w:name w:val="footnote reference"/>
    <w:basedOn w:val="DefaultParagraphFont"/>
    <w:uiPriority w:val="99"/>
    <w:semiHidden/>
    <w:unhideWhenUsed/>
    <w:rsid w:val="00517BF4"/>
    <w:rPr>
      <w:vertAlign w:val="superscript"/>
    </w:rPr>
  </w:style>
  <w:style w:type="character" w:styleId="CommentReference">
    <w:name w:val="annotation reference"/>
    <w:basedOn w:val="DefaultParagraphFont"/>
    <w:uiPriority w:val="99"/>
    <w:semiHidden/>
    <w:unhideWhenUsed/>
    <w:rsid w:val="0012569E"/>
    <w:rPr>
      <w:sz w:val="16"/>
      <w:szCs w:val="16"/>
    </w:rPr>
  </w:style>
  <w:style w:type="paragraph" w:styleId="CommentText">
    <w:name w:val="annotation text"/>
    <w:basedOn w:val="Normal"/>
    <w:link w:val="CommentTextChar"/>
    <w:uiPriority w:val="99"/>
    <w:semiHidden/>
    <w:unhideWhenUsed/>
    <w:rsid w:val="0012569E"/>
  </w:style>
  <w:style w:type="character" w:customStyle="1" w:styleId="CommentTextChar">
    <w:name w:val="Comment Text Char"/>
    <w:basedOn w:val="DefaultParagraphFont"/>
    <w:link w:val="CommentText"/>
    <w:uiPriority w:val="99"/>
    <w:semiHidden/>
    <w:rsid w:val="0012569E"/>
    <w:rPr>
      <w:lang w:eastAsia="en-US"/>
    </w:rPr>
  </w:style>
  <w:style w:type="paragraph" w:styleId="CommentSubject">
    <w:name w:val="annotation subject"/>
    <w:basedOn w:val="CommentText"/>
    <w:next w:val="CommentText"/>
    <w:link w:val="CommentSubjectChar"/>
    <w:uiPriority w:val="99"/>
    <w:semiHidden/>
    <w:unhideWhenUsed/>
    <w:rsid w:val="0012569E"/>
    <w:rPr>
      <w:b/>
      <w:bCs/>
    </w:rPr>
  </w:style>
  <w:style w:type="character" w:customStyle="1" w:styleId="CommentSubjectChar">
    <w:name w:val="Comment Subject Char"/>
    <w:basedOn w:val="CommentTextChar"/>
    <w:link w:val="CommentSubject"/>
    <w:uiPriority w:val="99"/>
    <w:semiHidden/>
    <w:rsid w:val="0012569E"/>
    <w:rPr>
      <w:b/>
      <w:bCs/>
      <w:lang w:eastAsia="en-US"/>
    </w:rPr>
  </w:style>
  <w:style w:type="character" w:customStyle="1" w:styleId="Heading1Char">
    <w:name w:val="Heading 1 Char"/>
    <w:basedOn w:val="DefaultParagraphFont"/>
    <w:link w:val="Heading1"/>
    <w:rsid w:val="00D42E06"/>
    <w:rPr>
      <w:rFonts w:ascii="Helvetica 45 Light" w:hAnsi="Helvetica 45 Light"/>
      <w:sz w:val="24"/>
      <w:lang w:val="en-US" w:eastAsia="en-US"/>
    </w:rPr>
  </w:style>
  <w:style w:type="paragraph" w:styleId="ListParagraph">
    <w:name w:val="List Paragraph"/>
    <w:basedOn w:val="Normal"/>
    <w:uiPriority w:val="34"/>
    <w:qFormat/>
    <w:rsid w:val="00D42E06"/>
    <w:pPr>
      <w:ind w:left="720"/>
      <w:contextualSpacing/>
    </w:pPr>
    <w:rPr>
      <w:lang w:val="en-US"/>
    </w:rPr>
  </w:style>
  <w:style w:type="paragraph" w:styleId="NoSpacing">
    <w:name w:val="No Spacing"/>
    <w:uiPriority w:val="1"/>
    <w:qFormat/>
    <w:rsid w:val="00D42E06"/>
    <w:rPr>
      <w:lang w:val="en-US" w:eastAsia="en-US"/>
    </w:rPr>
  </w:style>
  <w:style w:type="character" w:customStyle="1" w:styleId="Heading3Char">
    <w:name w:val="Heading 3 Char"/>
    <w:basedOn w:val="DefaultParagraphFont"/>
    <w:link w:val="Heading3"/>
    <w:uiPriority w:val="9"/>
    <w:semiHidden/>
    <w:rsid w:val="00D805E9"/>
    <w:rPr>
      <w:rFonts w:asciiTheme="majorHAnsi" w:eastAsiaTheme="majorEastAsia" w:hAnsiTheme="majorHAnsi" w:cstheme="majorBidi"/>
      <w:b/>
      <w:b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12059">
      <w:bodyDiv w:val="1"/>
      <w:marLeft w:val="0"/>
      <w:marRight w:val="0"/>
      <w:marTop w:val="0"/>
      <w:marBottom w:val="0"/>
      <w:divBdr>
        <w:top w:val="none" w:sz="0" w:space="0" w:color="auto"/>
        <w:left w:val="none" w:sz="0" w:space="0" w:color="auto"/>
        <w:bottom w:val="none" w:sz="0" w:space="0" w:color="auto"/>
        <w:right w:val="none" w:sz="0" w:space="0" w:color="auto"/>
      </w:divBdr>
    </w:div>
    <w:div w:id="996113182">
      <w:bodyDiv w:val="1"/>
      <w:marLeft w:val="0"/>
      <w:marRight w:val="0"/>
      <w:marTop w:val="0"/>
      <w:marBottom w:val="0"/>
      <w:divBdr>
        <w:top w:val="none" w:sz="0" w:space="0" w:color="auto"/>
        <w:left w:val="none" w:sz="0" w:space="0" w:color="auto"/>
        <w:bottom w:val="none" w:sz="0" w:space="0" w:color="auto"/>
        <w:right w:val="none" w:sz="0" w:space="0" w:color="auto"/>
      </w:divBdr>
      <w:divsChild>
        <w:div w:id="215892287">
          <w:marLeft w:val="0"/>
          <w:marRight w:val="0"/>
          <w:marTop w:val="0"/>
          <w:marBottom w:val="0"/>
          <w:divBdr>
            <w:top w:val="none" w:sz="0" w:space="0" w:color="auto"/>
            <w:left w:val="none" w:sz="0" w:space="0" w:color="auto"/>
            <w:bottom w:val="none" w:sz="0" w:space="0" w:color="auto"/>
            <w:right w:val="none" w:sz="0" w:space="0" w:color="auto"/>
          </w:divBdr>
          <w:divsChild>
            <w:div w:id="1042553661">
              <w:marLeft w:val="0"/>
              <w:marRight w:val="0"/>
              <w:marTop w:val="0"/>
              <w:marBottom w:val="0"/>
              <w:divBdr>
                <w:top w:val="none" w:sz="0" w:space="0" w:color="auto"/>
                <w:left w:val="none" w:sz="0" w:space="0" w:color="auto"/>
                <w:bottom w:val="none" w:sz="0" w:space="0" w:color="auto"/>
                <w:right w:val="none" w:sz="0" w:space="0" w:color="auto"/>
              </w:divBdr>
              <w:divsChild>
                <w:div w:id="1643925685">
                  <w:marLeft w:val="0"/>
                  <w:marRight w:val="0"/>
                  <w:marTop w:val="0"/>
                  <w:marBottom w:val="0"/>
                  <w:divBdr>
                    <w:top w:val="none" w:sz="0" w:space="0" w:color="auto"/>
                    <w:left w:val="none" w:sz="0" w:space="0" w:color="auto"/>
                    <w:bottom w:val="none" w:sz="0" w:space="0" w:color="auto"/>
                    <w:right w:val="none" w:sz="0" w:space="0" w:color="auto"/>
                  </w:divBdr>
                  <w:divsChild>
                    <w:div w:id="1741555615">
                      <w:marLeft w:val="0"/>
                      <w:marRight w:val="0"/>
                      <w:marTop w:val="100"/>
                      <w:marBottom w:val="100"/>
                      <w:divBdr>
                        <w:top w:val="none" w:sz="0" w:space="0" w:color="auto"/>
                        <w:left w:val="none" w:sz="0" w:space="0" w:color="auto"/>
                        <w:bottom w:val="none" w:sz="0" w:space="0" w:color="auto"/>
                        <w:right w:val="none" w:sz="0" w:space="0" w:color="auto"/>
                      </w:divBdr>
                      <w:divsChild>
                        <w:div w:id="320428097">
                          <w:marLeft w:val="0"/>
                          <w:marRight w:val="0"/>
                          <w:marTop w:val="0"/>
                          <w:marBottom w:val="0"/>
                          <w:divBdr>
                            <w:top w:val="none" w:sz="0" w:space="0" w:color="auto"/>
                            <w:left w:val="none" w:sz="0" w:space="0" w:color="auto"/>
                            <w:bottom w:val="none" w:sz="0" w:space="0" w:color="auto"/>
                            <w:right w:val="none" w:sz="0" w:space="0" w:color="auto"/>
                          </w:divBdr>
                          <w:divsChild>
                            <w:div w:id="640579539">
                              <w:marLeft w:val="0"/>
                              <w:marRight w:val="0"/>
                              <w:marTop w:val="0"/>
                              <w:marBottom w:val="0"/>
                              <w:divBdr>
                                <w:top w:val="none" w:sz="0" w:space="0" w:color="auto"/>
                                <w:left w:val="none" w:sz="0" w:space="0" w:color="auto"/>
                                <w:bottom w:val="none" w:sz="0" w:space="0" w:color="auto"/>
                                <w:right w:val="none" w:sz="0" w:space="0" w:color="auto"/>
                              </w:divBdr>
                              <w:divsChild>
                                <w:div w:id="43058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533156">
      <w:bodyDiv w:val="1"/>
      <w:marLeft w:val="0"/>
      <w:marRight w:val="0"/>
      <w:marTop w:val="0"/>
      <w:marBottom w:val="0"/>
      <w:divBdr>
        <w:top w:val="none" w:sz="0" w:space="0" w:color="auto"/>
        <w:left w:val="none" w:sz="0" w:space="0" w:color="auto"/>
        <w:bottom w:val="none" w:sz="0" w:space="0" w:color="auto"/>
        <w:right w:val="none" w:sz="0" w:space="0" w:color="auto"/>
      </w:divBdr>
    </w:div>
    <w:div w:id="1693342263">
      <w:bodyDiv w:val="1"/>
      <w:marLeft w:val="0"/>
      <w:marRight w:val="0"/>
      <w:marTop w:val="0"/>
      <w:marBottom w:val="0"/>
      <w:divBdr>
        <w:top w:val="none" w:sz="0" w:space="0" w:color="auto"/>
        <w:left w:val="none" w:sz="0" w:space="0" w:color="auto"/>
        <w:bottom w:val="none" w:sz="0" w:space="0" w:color="auto"/>
        <w:right w:val="none" w:sz="0" w:space="0" w:color="auto"/>
      </w:divBdr>
    </w:div>
    <w:div w:id="17460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monh@arb.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5A265-4E9B-43D2-9301-CB0857E4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1830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ARB Committee Paper</vt:lpstr>
    </vt:vector>
  </TitlesOfParts>
  <Company>ARB</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 Committee Paper</dc:title>
  <dc:creator>Vicky Aitchison</dc:creator>
  <cp:lastModifiedBy>Jodie James</cp:lastModifiedBy>
  <cp:revision>7</cp:revision>
  <cp:lastPrinted>2021-07-13T08:20:00Z</cp:lastPrinted>
  <dcterms:created xsi:type="dcterms:W3CDTF">2021-07-08T17:35:00Z</dcterms:created>
  <dcterms:modified xsi:type="dcterms:W3CDTF">2021-07-15T15:53:00Z</dcterms:modified>
</cp:coreProperties>
</file>