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7D80F" w14:textId="4E02C5FE" w:rsidR="00A106FA" w:rsidRPr="00A4438A" w:rsidRDefault="00CC715A" w:rsidP="00CF2D5B">
      <w:pPr>
        <w:spacing w:after="120" w:line="276" w:lineRule="auto"/>
        <w:jc w:val="both"/>
        <w:rPr>
          <w:rFonts w:cstheme="minorHAnsi"/>
          <w:b/>
          <w:bCs/>
          <w:sz w:val="24"/>
          <w:szCs w:val="24"/>
          <w:u w:val="single"/>
        </w:rPr>
      </w:pPr>
      <w:r w:rsidRPr="00A4438A">
        <w:rPr>
          <w:rFonts w:cstheme="minorHAnsi"/>
          <w:b/>
          <w:bCs/>
          <w:sz w:val="24"/>
          <w:szCs w:val="24"/>
          <w:u w:val="single"/>
        </w:rPr>
        <w:t>Guidance for education institutions on F</w:t>
      </w:r>
      <w:r w:rsidR="00413907" w:rsidRPr="00A4438A">
        <w:rPr>
          <w:rFonts w:cstheme="minorHAnsi"/>
          <w:b/>
          <w:bCs/>
          <w:sz w:val="24"/>
          <w:szCs w:val="24"/>
          <w:u w:val="single"/>
        </w:rPr>
        <w:t xml:space="preserve">ire and life safety </w:t>
      </w:r>
      <w:r w:rsidRPr="00A4438A">
        <w:rPr>
          <w:rFonts w:cstheme="minorHAnsi"/>
          <w:b/>
          <w:bCs/>
          <w:sz w:val="24"/>
          <w:szCs w:val="24"/>
          <w:u w:val="single"/>
        </w:rPr>
        <w:t xml:space="preserve">design </w:t>
      </w:r>
      <w:r w:rsidR="00413907" w:rsidRPr="00A4438A">
        <w:rPr>
          <w:rFonts w:cstheme="minorHAnsi"/>
          <w:b/>
          <w:bCs/>
          <w:sz w:val="24"/>
          <w:szCs w:val="24"/>
          <w:u w:val="single"/>
        </w:rPr>
        <w:t xml:space="preserve">and </w:t>
      </w:r>
      <w:r w:rsidRPr="00A4438A">
        <w:rPr>
          <w:rFonts w:cstheme="minorHAnsi"/>
          <w:b/>
          <w:bCs/>
          <w:sz w:val="24"/>
          <w:szCs w:val="24"/>
          <w:u w:val="single"/>
        </w:rPr>
        <w:t>S</w:t>
      </w:r>
      <w:r w:rsidR="00413907" w:rsidRPr="00A4438A">
        <w:rPr>
          <w:rFonts w:cstheme="minorHAnsi"/>
          <w:b/>
          <w:bCs/>
          <w:sz w:val="24"/>
          <w:szCs w:val="24"/>
          <w:u w:val="single"/>
        </w:rPr>
        <w:t>ustainability</w:t>
      </w:r>
    </w:p>
    <w:p w14:paraId="6921A813" w14:textId="01CAD586" w:rsidR="00CC715A" w:rsidRDefault="00721AF9" w:rsidP="00CF2D5B">
      <w:pPr>
        <w:spacing w:after="120" w:line="276" w:lineRule="auto"/>
        <w:jc w:val="both"/>
        <w:rPr>
          <w:rFonts w:cstheme="minorHAnsi"/>
          <w:b/>
          <w:bCs/>
          <w:sz w:val="24"/>
          <w:szCs w:val="24"/>
          <w:u w:val="single"/>
        </w:rPr>
      </w:pPr>
      <w:r>
        <w:rPr>
          <w:rFonts w:cstheme="minorHAnsi"/>
          <w:b/>
          <w:bCs/>
          <w:sz w:val="24"/>
          <w:szCs w:val="24"/>
          <w:u w:val="single"/>
        </w:rPr>
        <w:t xml:space="preserve">Draft </w:t>
      </w:r>
      <w:r w:rsidR="00054682" w:rsidRPr="00A4438A">
        <w:rPr>
          <w:rFonts w:cstheme="minorHAnsi"/>
          <w:b/>
          <w:bCs/>
          <w:sz w:val="24"/>
          <w:szCs w:val="24"/>
          <w:u w:val="single"/>
        </w:rPr>
        <w:t>C</w:t>
      </w:r>
      <w:r w:rsidR="00CC715A" w:rsidRPr="00A4438A">
        <w:rPr>
          <w:rFonts w:cstheme="minorHAnsi"/>
          <w:b/>
          <w:bCs/>
          <w:sz w:val="24"/>
          <w:szCs w:val="24"/>
          <w:u w:val="single"/>
        </w:rPr>
        <w:t>onsultation</w:t>
      </w:r>
      <w:r w:rsidR="00054682" w:rsidRPr="00A4438A">
        <w:rPr>
          <w:rFonts w:cstheme="minorHAnsi"/>
          <w:b/>
          <w:bCs/>
          <w:sz w:val="24"/>
          <w:szCs w:val="24"/>
          <w:u w:val="single"/>
        </w:rPr>
        <w:t xml:space="preserve"> report</w:t>
      </w:r>
    </w:p>
    <w:p w14:paraId="4072202D" w14:textId="75492D78" w:rsidR="005D4BE3" w:rsidRDefault="005D4BE3" w:rsidP="00CF2D5B">
      <w:pPr>
        <w:spacing w:after="120" w:line="276" w:lineRule="auto"/>
        <w:jc w:val="both"/>
        <w:rPr>
          <w:rFonts w:cstheme="minorHAnsi"/>
          <w:b/>
          <w:bCs/>
          <w:sz w:val="24"/>
          <w:szCs w:val="24"/>
          <w:u w:val="single"/>
        </w:rPr>
      </w:pPr>
    </w:p>
    <w:p w14:paraId="13624D9B" w14:textId="6D93B90D" w:rsidR="005D4BE3" w:rsidRPr="00A4438A" w:rsidRDefault="005D4BE3" w:rsidP="00CF2D5B">
      <w:pPr>
        <w:spacing w:after="120" w:line="276" w:lineRule="auto"/>
        <w:jc w:val="both"/>
        <w:rPr>
          <w:rFonts w:cstheme="minorHAnsi"/>
          <w:b/>
          <w:bCs/>
          <w:sz w:val="24"/>
          <w:szCs w:val="24"/>
          <w:u w:val="single"/>
        </w:rPr>
      </w:pPr>
      <w:r>
        <w:rPr>
          <w:rFonts w:cstheme="minorHAnsi"/>
          <w:b/>
          <w:bCs/>
          <w:sz w:val="24"/>
          <w:szCs w:val="24"/>
          <w:u w:val="single"/>
        </w:rPr>
        <w:t>Contents</w:t>
      </w:r>
    </w:p>
    <w:p w14:paraId="33551F29" w14:textId="7B85BA81" w:rsidR="00487D30" w:rsidRDefault="00487D30" w:rsidP="00CF2D5B">
      <w:pPr>
        <w:spacing w:after="120" w:line="276" w:lineRule="auto"/>
        <w:jc w:val="both"/>
        <w:rPr>
          <w:rFonts w:cstheme="minorHAnsi"/>
          <w:b/>
          <w:bCs/>
          <w:sz w:val="24"/>
          <w:szCs w:val="24"/>
          <w:u w:val="single"/>
        </w:rPr>
      </w:pPr>
    </w:p>
    <w:p w14:paraId="0BEF0CBA" w14:textId="77777777" w:rsidR="005D4BE3" w:rsidRPr="00D055CC" w:rsidRDefault="005D4BE3" w:rsidP="00CF2D5B">
      <w:pPr>
        <w:spacing w:after="120" w:line="276" w:lineRule="auto"/>
        <w:jc w:val="both"/>
        <w:rPr>
          <w:rFonts w:cstheme="minorHAnsi"/>
          <w:b/>
          <w:bCs/>
          <w:sz w:val="24"/>
          <w:szCs w:val="24"/>
        </w:rPr>
      </w:pPr>
      <w:r w:rsidRPr="00D055CC">
        <w:rPr>
          <w:rFonts w:cstheme="minorHAnsi"/>
          <w:b/>
          <w:bCs/>
          <w:sz w:val="24"/>
          <w:szCs w:val="24"/>
        </w:rPr>
        <w:t>Executive Summary</w:t>
      </w:r>
    </w:p>
    <w:p w14:paraId="7B5DF794" w14:textId="77777777" w:rsidR="005D4BE3" w:rsidRPr="00D055CC" w:rsidRDefault="005D4BE3" w:rsidP="00CF2D5B">
      <w:pPr>
        <w:spacing w:after="120" w:line="276" w:lineRule="auto"/>
        <w:jc w:val="both"/>
        <w:rPr>
          <w:rFonts w:cstheme="minorHAnsi"/>
          <w:b/>
          <w:bCs/>
          <w:sz w:val="24"/>
          <w:szCs w:val="24"/>
        </w:rPr>
      </w:pPr>
      <w:r w:rsidRPr="00D055CC">
        <w:rPr>
          <w:rFonts w:cstheme="minorHAnsi"/>
          <w:b/>
          <w:bCs/>
          <w:sz w:val="24"/>
          <w:szCs w:val="24"/>
        </w:rPr>
        <w:t xml:space="preserve">Chapter One: Why and how we </w:t>
      </w:r>
      <w:proofErr w:type="gramStart"/>
      <w:r w:rsidRPr="00D055CC">
        <w:rPr>
          <w:rFonts w:cstheme="minorHAnsi"/>
          <w:b/>
          <w:bCs/>
          <w:sz w:val="24"/>
          <w:szCs w:val="24"/>
        </w:rPr>
        <w:t>consulted</w:t>
      </w:r>
      <w:proofErr w:type="gramEnd"/>
    </w:p>
    <w:p w14:paraId="317C29DD"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ARB’s role</w:t>
      </w:r>
    </w:p>
    <w:p w14:paraId="6A8242E2"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Changing context</w:t>
      </w:r>
    </w:p>
    <w:p w14:paraId="4F835497"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The role of the new guidance</w:t>
      </w:r>
    </w:p>
    <w:p w14:paraId="7A984C00"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How we consulted</w:t>
      </w:r>
    </w:p>
    <w:p w14:paraId="3AF5D673" w14:textId="77777777" w:rsidR="005D4BE3" w:rsidRPr="00D055CC" w:rsidRDefault="005D4BE3" w:rsidP="00CF2D5B">
      <w:pPr>
        <w:spacing w:after="120" w:line="276" w:lineRule="auto"/>
        <w:jc w:val="both"/>
        <w:rPr>
          <w:rFonts w:cstheme="minorHAnsi"/>
          <w:b/>
          <w:bCs/>
          <w:sz w:val="24"/>
          <w:szCs w:val="24"/>
        </w:rPr>
      </w:pPr>
      <w:r w:rsidRPr="00D055CC">
        <w:rPr>
          <w:rFonts w:cstheme="minorHAnsi"/>
          <w:b/>
          <w:bCs/>
          <w:sz w:val="24"/>
          <w:szCs w:val="24"/>
        </w:rPr>
        <w:t>Chapter Two: Who responded</w:t>
      </w:r>
    </w:p>
    <w:p w14:paraId="46D981E3" w14:textId="77777777" w:rsidR="005D4BE3" w:rsidRPr="00D055CC" w:rsidRDefault="005D4BE3" w:rsidP="00CF2D5B">
      <w:pPr>
        <w:spacing w:after="120" w:line="276" w:lineRule="auto"/>
        <w:jc w:val="both"/>
        <w:rPr>
          <w:rFonts w:cstheme="minorHAnsi"/>
          <w:b/>
          <w:bCs/>
          <w:sz w:val="24"/>
          <w:szCs w:val="24"/>
        </w:rPr>
      </w:pPr>
      <w:r w:rsidRPr="00D055CC">
        <w:rPr>
          <w:rFonts w:cstheme="minorHAnsi"/>
          <w:b/>
          <w:bCs/>
          <w:sz w:val="24"/>
          <w:szCs w:val="24"/>
        </w:rPr>
        <w:t xml:space="preserve">Chapter Three: What the respondents </w:t>
      </w:r>
      <w:proofErr w:type="gramStart"/>
      <w:r w:rsidRPr="00D055CC">
        <w:rPr>
          <w:rFonts w:cstheme="minorHAnsi"/>
          <w:b/>
          <w:bCs/>
          <w:sz w:val="24"/>
          <w:szCs w:val="24"/>
        </w:rPr>
        <w:t>said</w:t>
      </w:r>
      <w:proofErr w:type="gramEnd"/>
      <w:r w:rsidRPr="00D055CC">
        <w:rPr>
          <w:rFonts w:cstheme="minorHAnsi"/>
          <w:b/>
          <w:bCs/>
          <w:sz w:val="24"/>
          <w:szCs w:val="24"/>
        </w:rPr>
        <w:t xml:space="preserve"> </w:t>
      </w:r>
    </w:p>
    <w:p w14:paraId="38C34517"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Introduction</w:t>
      </w:r>
    </w:p>
    <w:p w14:paraId="363E51BB"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Clarity of the Fire and life safety design guidance</w:t>
      </w:r>
    </w:p>
    <w:p w14:paraId="0FD24CA0"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Clarity of the Sustainability guidance</w:t>
      </w:r>
    </w:p>
    <w:p w14:paraId="4DCE2E8E" w14:textId="2CB7E36E" w:rsidR="005D4BE3" w:rsidRDefault="005D4BE3" w:rsidP="00CF2D5B">
      <w:pPr>
        <w:spacing w:after="120" w:line="276" w:lineRule="auto"/>
        <w:ind w:left="720"/>
        <w:jc w:val="both"/>
        <w:rPr>
          <w:rFonts w:cstheme="minorHAnsi"/>
          <w:sz w:val="24"/>
          <w:szCs w:val="24"/>
        </w:rPr>
      </w:pPr>
      <w:r w:rsidRPr="00A4438A">
        <w:rPr>
          <w:rFonts w:cstheme="minorHAnsi"/>
          <w:sz w:val="24"/>
          <w:szCs w:val="24"/>
        </w:rPr>
        <w:t xml:space="preserve">Implementation </w:t>
      </w:r>
    </w:p>
    <w:p w14:paraId="795E9AEC" w14:textId="77777777" w:rsidR="005D4BE3" w:rsidRPr="00D055CC" w:rsidRDefault="005D4BE3" w:rsidP="00CF2D5B">
      <w:pPr>
        <w:spacing w:after="120" w:line="276" w:lineRule="auto"/>
        <w:jc w:val="both"/>
        <w:rPr>
          <w:rFonts w:cstheme="minorHAnsi"/>
          <w:b/>
          <w:bCs/>
          <w:sz w:val="24"/>
          <w:szCs w:val="24"/>
        </w:rPr>
      </w:pPr>
      <w:r w:rsidRPr="00D055CC">
        <w:rPr>
          <w:rFonts w:cstheme="minorHAnsi"/>
          <w:b/>
          <w:bCs/>
          <w:sz w:val="24"/>
          <w:szCs w:val="24"/>
        </w:rPr>
        <w:t>Chapter Four: ARB’s response</w:t>
      </w:r>
    </w:p>
    <w:p w14:paraId="2FFFD92A"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Introduction</w:t>
      </w:r>
    </w:p>
    <w:p w14:paraId="29975072" w14:textId="77777777"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Clarity of the Fire and life safety design guidance</w:t>
      </w:r>
    </w:p>
    <w:p w14:paraId="746C8740" w14:textId="29D3CC15" w:rsidR="005D4BE3" w:rsidRPr="005D4BE3" w:rsidRDefault="005D4BE3" w:rsidP="00CF2D5B">
      <w:pPr>
        <w:spacing w:after="120" w:line="276" w:lineRule="auto"/>
        <w:ind w:left="720"/>
        <w:jc w:val="both"/>
        <w:rPr>
          <w:rFonts w:cstheme="minorHAnsi"/>
          <w:sz w:val="24"/>
          <w:szCs w:val="24"/>
        </w:rPr>
      </w:pPr>
      <w:r w:rsidRPr="005D4BE3">
        <w:rPr>
          <w:rFonts w:cstheme="minorHAnsi"/>
          <w:sz w:val="24"/>
          <w:szCs w:val="24"/>
        </w:rPr>
        <w:t>Clarity of the Sustainability guidance</w:t>
      </w:r>
    </w:p>
    <w:p w14:paraId="28CDB176" w14:textId="259CB340" w:rsidR="005D4BE3" w:rsidRDefault="005D4BE3" w:rsidP="00CF2D5B">
      <w:pPr>
        <w:spacing w:after="120" w:line="276" w:lineRule="auto"/>
        <w:ind w:left="720"/>
        <w:jc w:val="both"/>
        <w:rPr>
          <w:rFonts w:cstheme="minorHAnsi"/>
          <w:sz w:val="24"/>
          <w:szCs w:val="24"/>
        </w:rPr>
      </w:pPr>
      <w:r w:rsidRPr="00A4438A">
        <w:rPr>
          <w:rFonts w:cstheme="minorHAnsi"/>
          <w:sz w:val="24"/>
          <w:szCs w:val="24"/>
        </w:rPr>
        <w:t xml:space="preserve">Implementation </w:t>
      </w:r>
    </w:p>
    <w:p w14:paraId="6FDEC678" w14:textId="77777777" w:rsidR="005D4BE3" w:rsidRPr="00D055CC" w:rsidRDefault="005D4BE3" w:rsidP="00CF2D5B">
      <w:pPr>
        <w:spacing w:after="120" w:line="276" w:lineRule="auto"/>
        <w:jc w:val="both"/>
        <w:rPr>
          <w:rFonts w:cstheme="minorHAnsi"/>
          <w:b/>
          <w:bCs/>
          <w:sz w:val="24"/>
          <w:szCs w:val="24"/>
        </w:rPr>
      </w:pPr>
      <w:r w:rsidRPr="00D055CC">
        <w:rPr>
          <w:rFonts w:cstheme="minorHAnsi"/>
          <w:b/>
          <w:bCs/>
          <w:sz w:val="24"/>
          <w:szCs w:val="24"/>
        </w:rPr>
        <w:t>Chapter Five: Conclusion</w:t>
      </w:r>
    </w:p>
    <w:p w14:paraId="3D490E5B" w14:textId="014AE2BA" w:rsidR="005D4BE3" w:rsidRPr="00A4438A" w:rsidRDefault="005D4BE3" w:rsidP="00CF2D5B">
      <w:pPr>
        <w:spacing w:after="120" w:line="276" w:lineRule="auto"/>
        <w:jc w:val="both"/>
        <w:rPr>
          <w:rFonts w:cstheme="minorHAnsi"/>
          <w:b/>
          <w:bCs/>
          <w:sz w:val="24"/>
          <w:szCs w:val="24"/>
        </w:rPr>
      </w:pPr>
      <w:r w:rsidRPr="005D4BE3">
        <w:rPr>
          <w:rFonts w:cstheme="minorHAnsi"/>
          <w:b/>
          <w:bCs/>
          <w:sz w:val="24"/>
          <w:szCs w:val="24"/>
        </w:rPr>
        <w:t xml:space="preserve">Annex A: List of respondents </w:t>
      </w:r>
    </w:p>
    <w:p w14:paraId="78EEB9E6" w14:textId="77777777" w:rsidR="005D4BE3" w:rsidRPr="00A4438A" w:rsidRDefault="005D4BE3" w:rsidP="00CF2D5B">
      <w:pPr>
        <w:spacing w:after="0" w:line="240" w:lineRule="auto"/>
        <w:jc w:val="both"/>
        <w:rPr>
          <w:rFonts w:cstheme="minorHAnsi"/>
          <w:b/>
          <w:bCs/>
          <w:sz w:val="24"/>
          <w:szCs w:val="24"/>
          <w:u w:val="single"/>
        </w:rPr>
      </w:pPr>
    </w:p>
    <w:p w14:paraId="4B393E66" w14:textId="77777777" w:rsidR="005D4BE3" w:rsidRDefault="005D4BE3" w:rsidP="00CF2D5B">
      <w:pPr>
        <w:jc w:val="both"/>
        <w:rPr>
          <w:rFonts w:cstheme="minorHAnsi"/>
          <w:b/>
          <w:bCs/>
          <w:sz w:val="24"/>
          <w:szCs w:val="24"/>
          <w:u w:val="single"/>
        </w:rPr>
      </w:pPr>
      <w:r>
        <w:rPr>
          <w:rFonts w:cstheme="minorHAnsi"/>
          <w:b/>
          <w:bCs/>
          <w:sz w:val="24"/>
          <w:szCs w:val="24"/>
          <w:u w:val="single"/>
        </w:rPr>
        <w:br w:type="page"/>
      </w:r>
    </w:p>
    <w:p w14:paraId="7A526C7C" w14:textId="6CC7E215" w:rsidR="00054682" w:rsidRPr="00A4438A" w:rsidRDefault="00054682" w:rsidP="00CF2D5B">
      <w:pPr>
        <w:spacing w:after="120" w:line="276" w:lineRule="auto"/>
        <w:jc w:val="both"/>
        <w:rPr>
          <w:rFonts w:cstheme="minorHAnsi"/>
          <w:b/>
          <w:bCs/>
          <w:sz w:val="24"/>
          <w:szCs w:val="24"/>
          <w:u w:val="single"/>
        </w:rPr>
      </w:pPr>
      <w:r w:rsidRPr="00A4438A">
        <w:rPr>
          <w:rFonts w:cstheme="minorHAnsi"/>
          <w:b/>
          <w:bCs/>
          <w:sz w:val="24"/>
          <w:szCs w:val="24"/>
          <w:u w:val="single"/>
        </w:rPr>
        <w:lastRenderedPageBreak/>
        <w:t>Executive Summary</w:t>
      </w:r>
    </w:p>
    <w:p w14:paraId="1BFB4EA0" w14:textId="77777777" w:rsidR="00054682" w:rsidRPr="00A4438A" w:rsidRDefault="00054682" w:rsidP="00CF2D5B">
      <w:pPr>
        <w:spacing w:after="120" w:line="276" w:lineRule="auto"/>
        <w:jc w:val="both"/>
        <w:rPr>
          <w:rFonts w:cstheme="minorHAnsi"/>
          <w:sz w:val="24"/>
          <w:szCs w:val="24"/>
        </w:rPr>
      </w:pPr>
    </w:p>
    <w:p w14:paraId="1BF02A44" w14:textId="779099E6" w:rsidR="00436B60" w:rsidRPr="00A4438A" w:rsidRDefault="00054682" w:rsidP="00CF2D5B">
      <w:pPr>
        <w:spacing w:after="120" w:line="276" w:lineRule="auto"/>
        <w:jc w:val="both"/>
        <w:rPr>
          <w:rFonts w:eastAsia="Calibri" w:cstheme="minorHAnsi"/>
          <w:sz w:val="24"/>
          <w:szCs w:val="24"/>
        </w:rPr>
      </w:pPr>
      <w:r w:rsidRPr="00A4438A">
        <w:rPr>
          <w:rFonts w:cstheme="minorHAnsi"/>
          <w:sz w:val="24"/>
          <w:szCs w:val="24"/>
        </w:rPr>
        <w:t xml:space="preserve">Everybody deserves a built environment </w:t>
      </w:r>
      <w:r w:rsidR="008A178D" w:rsidRPr="00A4438A">
        <w:rPr>
          <w:rFonts w:cstheme="minorHAnsi"/>
          <w:sz w:val="24"/>
          <w:szCs w:val="24"/>
        </w:rPr>
        <w:t>in which they can feel safe and live well</w:t>
      </w:r>
      <w:r w:rsidRPr="00A4438A">
        <w:rPr>
          <w:rFonts w:cstheme="minorHAnsi"/>
          <w:sz w:val="24"/>
          <w:szCs w:val="24"/>
        </w:rPr>
        <w:t xml:space="preserve">, and architects are the experienced professionals who design buildings and environments. </w:t>
      </w:r>
      <w:r w:rsidR="00E23139" w:rsidRPr="00A4438A">
        <w:rPr>
          <w:rFonts w:cstheme="minorHAnsi"/>
          <w:sz w:val="24"/>
          <w:szCs w:val="24"/>
        </w:rPr>
        <w:t>The Architects Registration Board (</w:t>
      </w:r>
      <w:r w:rsidR="00A5663B" w:rsidRPr="00A4438A">
        <w:rPr>
          <w:rFonts w:cstheme="minorHAnsi"/>
          <w:sz w:val="24"/>
          <w:szCs w:val="24"/>
        </w:rPr>
        <w:t>ARB</w:t>
      </w:r>
      <w:r w:rsidR="00E23139" w:rsidRPr="00A4438A">
        <w:rPr>
          <w:rFonts w:cstheme="minorHAnsi"/>
          <w:sz w:val="24"/>
          <w:szCs w:val="24"/>
        </w:rPr>
        <w:t>) publishes a register of all architects in the UK. We</w:t>
      </w:r>
      <w:r w:rsidR="00A5663B" w:rsidRPr="00A4438A">
        <w:rPr>
          <w:rFonts w:cstheme="minorHAnsi"/>
          <w:sz w:val="24"/>
          <w:szCs w:val="24"/>
        </w:rPr>
        <w:t xml:space="preserve"> must ensure everyone</w:t>
      </w:r>
      <w:r w:rsidR="00A5663B" w:rsidRPr="00A4438A">
        <w:rPr>
          <w:rFonts w:eastAsia="Calibri" w:cstheme="minorHAnsi"/>
          <w:sz w:val="24"/>
          <w:szCs w:val="24"/>
        </w:rPr>
        <w:t xml:space="preserve"> admitted to the </w:t>
      </w:r>
      <w:r w:rsidR="00E23139" w:rsidRPr="00A4438A">
        <w:rPr>
          <w:rFonts w:eastAsia="Calibri" w:cstheme="minorHAnsi"/>
          <w:sz w:val="24"/>
          <w:szCs w:val="24"/>
        </w:rPr>
        <w:t>r</w:t>
      </w:r>
      <w:r w:rsidR="00A5663B" w:rsidRPr="00A4438A">
        <w:rPr>
          <w:rFonts w:eastAsia="Calibri" w:cstheme="minorHAnsi"/>
          <w:sz w:val="24"/>
          <w:szCs w:val="24"/>
        </w:rPr>
        <w:t>egister has the necessary skills, knowledge, experience and behaviours to practi</w:t>
      </w:r>
      <w:r w:rsidR="00423271" w:rsidRPr="00A4438A">
        <w:rPr>
          <w:rFonts w:eastAsia="Calibri" w:cstheme="minorHAnsi"/>
          <w:sz w:val="24"/>
          <w:szCs w:val="24"/>
        </w:rPr>
        <w:t>s</w:t>
      </w:r>
      <w:r w:rsidR="00A5663B" w:rsidRPr="00A4438A">
        <w:rPr>
          <w:rFonts w:eastAsia="Calibri" w:cstheme="minorHAnsi"/>
          <w:sz w:val="24"/>
          <w:szCs w:val="24"/>
        </w:rPr>
        <w:t xml:space="preserve">e as an architect. We </w:t>
      </w:r>
      <w:r w:rsidR="00CF2D5B">
        <w:rPr>
          <w:rFonts w:eastAsia="Calibri" w:cstheme="minorHAnsi"/>
          <w:sz w:val="24"/>
          <w:szCs w:val="24"/>
        </w:rPr>
        <w:t>currently do this by setting</w:t>
      </w:r>
      <w:r w:rsidR="00A5663B" w:rsidRPr="00A4438A">
        <w:rPr>
          <w:rFonts w:eastAsia="Calibri" w:cstheme="minorHAnsi"/>
          <w:sz w:val="24"/>
          <w:szCs w:val="24"/>
        </w:rPr>
        <w:t xml:space="preserve"> </w:t>
      </w:r>
      <w:r w:rsidR="00436B60" w:rsidRPr="00A4438A">
        <w:rPr>
          <w:rFonts w:eastAsia="Calibri" w:cstheme="minorHAnsi"/>
          <w:sz w:val="24"/>
          <w:szCs w:val="24"/>
        </w:rPr>
        <w:t>criteria and processes for schools of architecture, so that we can recognise their qualifications and their students can qualify as architects.</w:t>
      </w:r>
    </w:p>
    <w:p w14:paraId="58C0230F" w14:textId="57E0D5F5" w:rsidR="00E23139" w:rsidRDefault="00054682" w:rsidP="00CF2D5B">
      <w:pPr>
        <w:spacing w:after="120" w:line="276" w:lineRule="auto"/>
        <w:jc w:val="both"/>
        <w:rPr>
          <w:rFonts w:eastAsia="Calibri" w:cstheme="minorHAnsi"/>
          <w:sz w:val="24"/>
          <w:szCs w:val="24"/>
        </w:rPr>
      </w:pPr>
      <w:r w:rsidRPr="00A4438A">
        <w:rPr>
          <w:rFonts w:eastAsia="Calibri" w:cstheme="minorHAnsi"/>
          <w:sz w:val="24"/>
          <w:szCs w:val="24"/>
        </w:rPr>
        <w:t xml:space="preserve">From 25 February to </w:t>
      </w:r>
      <w:proofErr w:type="gramStart"/>
      <w:r w:rsidRPr="00A4438A">
        <w:rPr>
          <w:rFonts w:eastAsia="Calibri" w:cstheme="minorHAnsi"/>
          <w:sz w:val="24"/>
          <w:szCs w:val="24"/>
        </w:rPr>
        <w:t>23 April 2021</w:t>
      </w:r>
      <w:proofErr w:type="gramEnd"/>
      <w:r w:rsidRPr="00A4438A">
        <w:rPr>
          <w:rFonts w:eastAsia="Calibri" w:cstheme="minorHAnsi"/>
          <w:sz w:val="24"/>
          <w:szCs w:val="24"/>
        </w:rPr>
        <w:t xml:space="preserve"> we consulted on </w:t>
      </w:r>
      <w:r w:rsidR="00A5663B" w:rsidRPr="00A4438A">
        <w:rPr>
          <w:rFonts w:eastAsia="Calibri" w:cstheme="minorHAnsi"/>
          <w:sz w:val="24"/>
          <w:szCs w:val="24"/>
        </w:rPr>
        <w:t xml:space="preserve">new guidance </w:t>
      </w:r>
      <w:r w:rsidR="0094192D" w:rsidRPr="00A4438A">
        <w:rPr>
          <w:rFonts w:eastAsia="Calibri" w:cstheme="minorHAnsi"/>
          <w:sz w:val="24"/>
          <w:szCs w:val="24"/>
        </w:rPr>
        <w:t>on</w:t>
      </w:r>
      <w:r w:rsidR="00A5663B" w:rsidRPr="00A4438A">
        <w:rPr>
          <w:rFonts w:eastAsia="Calibri" w:cstheme="minorHAnsi"/>
          <w:sz w:val="24"/>
          <w:szCs w:val="24"/>
        </w:rPr>
        <w:t xml:space="preserve"> those criteria</w:t>
      </w:r>
      <w:r w:rsidR="00E23139" w:rsidRPr="00A4438A">
        <w:rPr>
          <w:rFonts w:eastAsia="Calibri" w:cstheme="minorHAnsi"/>
          <w:sz w:val="24"/>
          <w:szCs w:val="24"/>
        </w:rPr>
        <w:t xml:space="preserve"> on the topics of fire and life safety, and sustainability</w:t>
      </w:r>
      <w:r w:rsidR="0094192D" w:rsidRPr="00A4438A">
        <w:rPr>
          <w:rFonts w:eastAsia="Calibri" w:cstheme="minorHAnsi"/>
          <w:sz w:val="24"/>
          <w:szCs w:val="24"/>
        </w:rPr>
        <w:t>. The guidance will be issue</w:t>
      </w:r>
      <w:r w:rsidR="00436B60" w:rsidRPr="00A4438A">
        <w:rPr>
          <w:rFonts w:eastAsia="Calibri" w:cstheme="minorHAnsi"/>
          <w:sz w:val="24"/>
          <w:szCs w:val="24"/>
        </w:rPr>
        <w:t>d</w:t>
      </w:r>
      <w:r w:rsidR="0094192D" w:rsidRPr="00A4438A">
        <w:rPr>
          <w:rFonts w:eastAsia="Calibri" w:cstheme="minorHAnsi"/>
          <w:sz w:val="24"/>
          <w:szCs w:val="24"/>
        </w:rPr>
        <w:t xml:space="preserve"> to </w:t>
      </w:r>
      <w:r w:rsidR="001B3BE3" w:rsidRPr="00A4438A">
        <w:rPr>
          <w:rFonts w:eastAsia="Calibri" w:cstheme="minorHAnsi"/>
          <w:sz w:val="24"/>
          <w:szCs w:val="24"/>
        </w:rPr>
        <w:t xml:space="preserve">institutions </w:t>
      </w:r>
      <w:r w:rsidR="00A5663B" w:rsidRPr="00A4438A">
        <w:rPr>
          <w:rFonts w:eastAsia="Calibri" w:cstheme="minorHAnsi"/>
          <w:sz w:val="24"/>
          <w:szCs w:val="24"/>
        </w:rPr>
        <w:t>to help to ensure that architecture students are well trained to be able to design safe and sustainable buildings and environments.</w:t>
      </w:r>
      <w:r w:rsidR="00CF2D5B">
        <w:rPr>
          <w:rFonts w:eastAsia="Calibri" w:cstheme="minorHAnsi"/>
          <w:sz w:val="24"/>
          <w:szCs w:val="24"/>
        </w:rPr>
        <w:t xml:space="preserve"> </w:t>
      </w:r>
      <w:r w:rsidR="00E23139" w:rsidRPr="00A4438A">
        <w:rPr>
          <w:rFonts w:eastAsia="Calibri" w:cstheme="minorHAnsi"/>
          <w:sz w:val="24"/>
          <w:szCs w:val="24"/>
        </w:rPr>
        <w:t xml:space="preserve">This report details the outcome of that consultation. Below we explain why and how we consulted; who responded; what they said; what </w:t>
      </w:r>
      <w:r w:rsidR="00686BA6">
        <w:rPr>
          <w:rFonts w:eastAsia="Calibri" w:cstheme="minorHAnsi"/>
          <w:sz w:val="24"/>
          <w:szCs w:val="24"/>
        </w:rPr>
        <w:t xml:space="preserve">changes we are making </w:t>
      </w:r>
      <w:proofErr w:type="gramStart"/>
      <w:r w:rsidR="00686BA6">
        <w:rPr>
          <w:rFonts w:eastAsia="Calibri" w:cstheme="minorHAnsi"/>
          <w:sz w:val="24"/>
          <w:szCs w:val="24"/>
        </w:rPr>
        <w:t>as a result of</w:t>
      </w:r>
      <w:proofErr w:type="gramEnd"/>
      <w:r w:rsidR="00686BA6">
        <w:rPr>
          <w:rFonts w:eastAsia="Calibri" w:cstheme="minorHAnsi"/>
          <w:sz w:val="24"/>
          <w:szCs w:val="24"/>
        </w:rPr>
        <w:t xml:space="preserve"> their feedback</w:t>
      </w:r>
      <w:r w:rsidR="002408E0">
        <w:rPr>
          <w:rFonts w:eastAsia="Calibri" w:cstheme="minorHAnsi"/>
          <w:sz w:val="24"/>
          <w:szCs w:val="24"/>
        </w:rPr>
        <w:t>. We also explain</w:t>
      </w:r>
      <w:r w:rsidR="00686BA6">
        <w:rPr>
          <w:rFonts w:eastAsia="Calibri" w:cstheme="minorHAnsi"/>
          <w:sz w:val="24"/>
          <w:szCs w:val="24"/>
        </w:rPr>
        <w:t xml:space="preserve"> how we will take wider feedback, for example around implantation of guidance, into account</w:t>
      </w:r>
      <w:r w:rsidR="00E23139" w:rsidRPr="00A4438A">
        <w:rPr>
          <w:rFonts w:eastAsia="Calibri" w:cstheme="minorHAnsi"/>
          <w:sz w:val="24"/>
          <w:szCs w:val="24"/>
        </w:rPr>
        <w:t>.</w:t>
      </w:r>
    </w:p>
    <w:p w14:paraId="090C1B42" w14:textId="677D0625" w:rsidR="00CF2D5B" w:rsidRPr="00615398" w:rsidRDefault="00CF2D5B" w:rsidP="00CF2D5B">
      <w:pPr>
        <w:spacing w:after="120" w:line="276" w:lineRule="auto"/>
        <w:jc w:val="both"/>
        <w:rPr>
          <w:rFonts w:cstheme="minorHAnsi"/>
          <w:sz w:val="24"/>
          <w:szCs w:val="24"/>
        </w:rPr>
      </w:pPr>
      <w:r>
        <w:rPr>
          <w:rFonts w:eastAsia="Calibri" w:cstheme="minorHAnsi"/>
          <w:sz w:val="24"/>
          <w:szCs w:val="24"/>
        </w:rPr>
        <w:t xml:space="preserve">We received 48 responses to our consultation, including 15 submitted on behalf of organisations. </w:t>
      </w:r>
      <w:r w:rsidRPr="004E4759">
        <w:rPr>
          <w:rFonts w:cstheme="minorHAnsi"/>
          <w:sz w:val="24"/>
          <w:szCs w:val="24"/>
        </w:rPr>
        <w:t>We asked respondents to ra</w:t>
      </w:r>
      <w:r w:rsidR="00555FF0">
        <w:rPr>
          <w:rFonts w:cstheme="minorHAnsi"/>
          <w:sz w:val="24"/>
          <w:szCs w:val="24"/>
        </w:rPr>
        <w:t>te</w:t>
      </w:r>
      <w:r w:rsidRPr="004E4759">
        <w:rPr>
          <w:rFonts w:cstheme="minorHAnsi"/>
          <w:sz w:val="24"/>
          <w:szCs w:val="24"/>
        </w:rPr>
        <w:t xml:space="preserve"> the clarity of each guidance document; 43% thought the Fire and life safety design guidance was clear and 16% thought it </w:t>
      </w:r>
      <w:proofErr w:type="gramStart"/>
      <w:r w:rsidRPr="004E4759">
        <w:rPr>
          <w:rFonts w:cstheme="minorHAnsi"/>
          <w:sz w:val="24"/>
          <w:szCs w:val="24"/>
        </w:rPr>
        <w:t>wasn’t</w:t>
      </w:r>
      <w:proofErr w:type="gramEnd"/>
      <w:r w:rsidRPr="004E4759">
        <w:rPr>
          <w:rFonts w:cstheme="minorHAnsi"/>
          <w:sz w:val="24"/>
          <w:szCs w:val="24"/>
        </w:rPr>
        <w:t xml:space="preserve"> clear. On the Sustainability guidance, 40% thought it was clear and 23% thought it </w:t>
      </w:r>
      <w:proofErr w:type="gramStart"/>
      <w:r w:rsidRPr="004E4759">
        <w:rPr>
          <w:rFonts w:cstheme="minorHAnsi"/>
          <w:sz w:val="24"/>
          <w:szCs w:val="24"/>
        </w:rPr>
        <w:t>wasn’t</w:t>
      </w:r>
      <w:proofErr w:type="gramEnd"/>
      <w:r w:rsidRPr="004E4759">
        <w:rPr>
          <w:rFonts w:cstheme="minorHAnsi"/>
          <w:sz w:val="24"/>
          <w:szCs w:val="24"/>
        </w:rPr>
        <w:t xml:space="preserve"> clear. The majority (69%) of respondents agreed that we should begin incorporating the guidance into our prescription process from September 2021.</w:t>
      </w:r>
      <w:r>
        <w:rPr>
          <w:rFonts w:cstheme="minorHAnsi"/>
          <w:sz w:val="24"/>
          <w:szCs w:val="24"/>
        </w:rPr>
        <w:t xml:space="preserve"> </w:t>
      </w:r>
      <w:r w:rsidRPr="004E4759">
        <w:rPr>
          <w:rFonts w:cstheme="minorHAnsi"/>
          <w:sz w:val="24"/>
          <w:szCs w:val="24"/>
        </w:rPr>
        <w:t xml:space="preserve">We proposed that we check progress of implementation through our annual monitoring process, and </w:t>
      </w:r>
      <w:r>
        <w:rPr>
          <w:rFonts w:cstheme="minorHAnsi"/>
          <w:sz w:val="24"/>
          <w:szCs w:val="24"/>
        </w:rPr>
        <w:t>the majority (</w:t>
      </w:r>
      <w:r w:rsidRPr="00615398">
        <w:rPr>
          <w:rFonts w:cstheme="minorHAnsi"/>
          <w:sz w:val="24"/>
          <w:szCs w:val="24"/>
        </w:rPr>
        <w:t>85%</w:t>
      </w:r>
      <w:r>
        <w:rPr>
          <w:rFonts w:cstheme="minorHAnsi"/>
          <w:sz w:val="24"/>
          <w:szCs w:val="24"/>
        </w:rPr>
        <w:t>)</w:t>
      </w:r>
      <w:r w:rsidRPr="00615398">
        <w:rPr>
          <w:rFonts w:cstheme="minorHAnsi"/>
          <w:sz w:val="24"/>
          <w:szCs w:val="24"/>
        </w:rPr>
        <w:t xml:space="preserve"> of respondents agreed with our proposal. </w:t>
      </w:r>
    </w:p>
    <w:p w14:paraId="009F4467" w14:textId="0F134EBA" w:rsidR="00E23139" w:rsidRPr="00A4438A" w:rsidRDefault="002D5476" w:rsidP="00CF2D5B">
      <w:pPr>
        <w:spacing w:after="120" w:line="276" w:lineRule="auto"/>
        <w:jc w:val="both"/>
        <w:rPr>
          <w:rFonts w:eastAsia="Calibri" w:cstheme="minorHAnsi"/>
          <w:sz w:val="24"/>
          <w:szCs w:val="24"/>
        </w:rPr>
      </w:pPr>
      <w:r>
        <w:rPr>
          <w:rFonts w:eastAsia="Calibri" w:cstheme="minorHAnsi"/>
          <w:sz w:val="24"/>
          <w:szCs w:val="24"/>
        </w:rPr>
        <w:t xml:space="preserve">Below are some of the key </w:t>
      </w:r>
      <w:r w:rsidR="00E23139" w:rsidRPr="00A4438A">
        <w:rPr>
          <w:rFonts w:eastAsia="Calibri" w:cstheme="minorHAnsi"/>
          <w:sz w:val="24"/>
          <w:szCs w:val="24"/>
        </w:rPr>
        <w:t xml:space="preserve">decisions </w:t>
      </w:r>
      <w:r>
        <w:rPr>
          <w:rFonts w:eastAsia="Calibri" w:cstheme="minorHAnsi"/>
          <w:sz w:val="24"/>
          <w:szCs w:val="24"/>
        </w:rPr>
        <w:t xml:space="preserve">we </w:t>
      </w:r>
      <w:r w:rsidR="00E23139" w:rsidRPr="00A4438A">
        <w:rPr>
          <w:rFonts w:eastAsia="Calibri" w:cstheme="minorHAnsi"/>
          <w:sz w:val="24"/>
          <w:szCs w:val="24"/>
        </w:rPr>
        <w:t xml:space="preserve">made </w:t>
      </w:r>
      <w:proofErr w:type="gramStart"/>
      <w:r w:rsidR="00E23139" w:rsidRPr="00A4438A">
        <w:rPr>
          <w:rFonts w:eastAsia="Calibri" w:cstheme="minorHAnsi"/>
          <w:sz w:val="24"/>
          <w:szCs w:val="24"/>
        </w:rPr>
        <w:t>as a result of</w:t>
      </w:r>
      <w:proofErr w:type="gramEnd"/>
      <w:r w:rsidR="00E23139" w:rsidRPr="00A4438A">
        <w:rPr>
          <w:rFonts w:eastAsia="Calibri" w:cstheme="minorHAnsi"/>
          <w:sz w:val="24"/>
          <w:szCs w:val="24"/>
        </w:rPr>
        <w:t xml:space="preserve"> the consultation:</w:t>
      </w:r>
    </w:p>
    <w:p w14:paraId="07957240" w14:textId="3A2CFFD7" w:rsidR="002D5476" w:rsidRPr="002D5476" w:rsidRDefault="002D5476" w:rsidP="00CF2D5B">
      <w:pPr>
        <w:pStyle w:val="ListParagraph"/>
        <w:numPr>
          <w:ilvl w:val="0"/>
          <w:numId w:val="14"/>
        </w:numPr>
        <w:spacing w:after="120" w:line="276" w:lineRule="auto"/>
        <w:ind w:left="714" w:hanging="357"/>
        <w:jc w:val="both"/>
        <w:rPr>
          <w:rFonts w:cstheme="minorHAnsi"/>
          <w:sz w:val="24"/>
          <w:szCs w:val="24"/>
        </w:rPr>
      </w:pPr>
      <w:r w:rsidRPr="002D5476">
        <w:rPr>
          <w:rFonts w:cstheme="minorHAnsi"/>
          <w:sz w:val="24"/>
          <w:szCs w:val="24"/>
        </w:rPr>
        <w:t>We will be more explicit about the status of this guidance</w:t>
      </w:r>
      <w:r>
        <w:rPr>
          <w:rFonts w:cstheme="minorHAnsi"/>
          <w:sz w:val="24"/>
          <w:szCs w:val="24"/>
        </w:rPr>
        <w:t xml:space="preserve"> by</w:t>
      </w:r>
      <w:r w:rsidRPr="002D5476">
        <w:rPr>
          <w:rFonts w:cstheme="minorHAnsi"/>
          <w:sz w:val="24"/>
          <w:szCs w:val="24"/>
        </w:rPr>
        <w:t xml:space="preserve"> writ</w:t>
      </w:r>
      <w:r>
        <w:rPr>
          <w:rFonts w:cstheme="minorHAnsi"/>
          <w:sz w:val="24"/>
          <w:szCs w:val="24"/>
        </w:rPr>
        <w:t>ing</w:t>
      </w:r>
      <w:r w:rsidRPr="002D5476">
        <w:rPr>
          <w:rFonts w:cstheme="minorHAnsi"/>
          <w:sz w:val="24"/>
          <w:szCs w:val="24"/>
        </w:rPr>
        <w:t xml:space="preserve"> to institutions that deliver ARB-recognised qualifications </w:t>
      </w:r>
      <w:r>
        <w:rPr>
          <w:rFonts w:cstheme="minorHAnsi"/>
          <w:sz w:val="24"/>
          <w:szCs w:val="24"/>
        </w:rPr>
        <w:t>to</w:t>
      </w:r>
      <w:r w:rsidRPr="002D5476">
        <w:rPr>
          <w:rFonts w:cstheme="minorHAnsi"/>
          <w:sz w:val="24"/>
          <w:szCs w:val="24"/>
        </w:rPr>
        <w:t xml:space="preserve"> set out </w:t>
      </w:r>
      <w:r w:rsidR="00B75741" w:rsidRPr="00B75741">
        <w:rPr>
          <w:rFonts w:cstheme="minorHAnsi"/>
          <w:sz w:val="24"/>
          <w:szCs w:val="24"/>
        </w:rPr>
        <w:t>that, as supplementary guidance to the ARB General Criteria, it is a formal part of the prescription process</w:t>
      </w:r>
      <w:r w:rsidRPr="002D5476">
        <w:rPr>
          <w:rFonts w:cstheme="minorHAnsi"/>
          <w:sz w:val="24"/>
          <w:szCs w:val="24"/>
        </w:rPr>
        <w:t>.</w:t>
      </w:r>
    </w:p>
    <w:p w14:paraId="0B4CA61E" w14:textId="1E604979" w:rsidR="002D5476" w:rsidRPr="002D5476" w:rsidRDefault="002D5476" w:rsidP="00CF2D5B">
      <w:pPr>
        <w:pStyle w:val="ListParagraph"/>
        <w:numPr>
          <w:ilvl w:val="0"/>
          <w:numId w:val="14"/>
        </w:numPr>
        <w:spacing w:after="120" w:line="276" w:lineRule="auto"/>
        <w:ind w:left="714" w:hanging="357"/>
        <w:jc w:val="both"/>
        <w:rPr>
          <w:rFonts w:cstheme="minorHAnsi"/>
          <w:sz w:val="24"/>
          <w:szCs w:val="24"/>
        </w:rPr>
      </w:pPr>
      <w:r w:rsidRPr="002D5476">
        <w:rPr>
          <w:rFonts w:eastAsia="Calibri" w:cstheme="minorHAnsi"/>
          <w:sz w:val="24"/>
          <w:szCs w:val="24"/>
          <w:lang w:val="en-US"/>
        </w:rPr>
        <w:t>We will strengthen wording in the</w:t>
      </w:r>
      <w:r>
        <w:rPr>
          <w:rFonts w:eastAsia="Calibri" w:cstheme="minorHAnsi"/>
          <w:sz w:val="24"/>
          <w:szCs w:val="24"/>
          <w:lang w:val="en-US"/>
        </w:rPr>
        <w:t xml:space="preserve"> </w:t>
      </w:r>
      <w:r w:rsidR="008B54E9">
        <w:rPr>
          <w:rFonts w:eastAsia="Calibri" w:cstheme="minorHAnsi"/>
          <w:sz w:val="24"/>
          <w:szCs w:val="24"/>
          <w:lang w:val="en-US"/>
        </w:rPr>
        <w:t>fire and life safety</w:t>
      </w:r>
      <w:r w:rsidRPr="002D5476">
        <w:rPr>
          <w:rFonts w:eastAsia="Calibri" w:cstheme="minorHAnsi"/>
          <w:sz w:val="24"/>
          <w:szCs w:val="24"/>
          <w:lang w:val="en-US"/>
        </w:rPr>
        <w:t xml:space="preserve"> guidance to include collaboration and consultation as part of the architect’s role in the design team.</w:t>
      </w:r>
    </w:p>
    <w:p w14:paraId="168D8E77" w14:textId="7CB500E2" w:rsidR="002D5476" w:rsidRDefault="002D5476" w:rsidP="00CF2D5B">
      <w:pPr>
        <w:pStyle w:val="ListParagraph"/>
        <w:numPr>
          <w:ilvl w:val="0"/>
          <w:numId w:val="14"/>
        </w:numPr>
        <w:spacing w:after="120" w:line="276" w:lineRule="auto"/>
        <w:ind w:left="714" w:hanging="357"/>
        <w:jc w:val="both"/>
      </w:pPr>
      <w:r w:rsidRPr="002D5476">
        <w:rPr>
          <w:rFonts w:cstheme="minorHAnsi"/>
          <w:sz w:val="24"/>
          <w:szCs w:val="24"/>
        </w:rPr>
        <w:t xml:space="preserve">We are currently reviewing the initial education and training </w:t>
      </w:r>
      <w:r w:rsidR="00686BA6">
        <w:rPr>
          <w:rFonts w:cstheme="minorHAnsi"/>
          <w:sz w:val="24"/>
          <w:szCs w:val="24"/>
        </w:rPr>
        <w:t xml:space="preserve">of </w:t>
      </w:r>
      <w:r w:rsidRPr="002D5476">
        <w:rPr>
          <w:rFonts w:cstheme="minorHAnsi"/>
          <w:sz w:val="24"/>
          <w:szCs w:val="24"/>
        </w:rPr>
        <w:t xml:space="preserve">architects, and the way that we recognise qualifications so that architects can join the UK register. We will use </w:t>
      </w:r>
      <w:r w:rsidR="00686BA6">
        <w:rPr>
          <w:rFonts w:cstheme="minorHAnsi"/>
          <w:sz w:val="24"/>
          <w:szCs w:val="24"/>
        </w:rPr>
        <w:t xml:space="preserve">the feedback we have received from this consultation to inform the review of ARB criteria and the importance of </w:t>
      </w:r>
      <w:r w:rsidRPr="002D5476">
        <w:rPr>
          <w:rFonts w:cstheme="minorHAnsi"/>
          <w:sz w:val="24"/>
          <w:szCs w:val="24"/>
        </w:rPr>
        <w:t>sustainability throughout education and training.</w:t>
      </w:r>
    </w:p>
    <w:p w14:paraId="4561A7ED" w14:textId="283D4A29" w:rsidR="00E23139" w:rsidRDefault="002D5476" w:rsidP="00CF2D5B">
      <w:pPr>
        <w:pStyle w:val="ListParagraph"/>
        <w:numPr>
          <w:ilvl w:val="0"/>
          <w:numId w:val="14"/>
        </w:numPr>
        <w:spacing w:after="120" w:line="276" w:lineRule="auto"/>
        <w:ind w:left="714" w:hanging="357"/>
        <w:jc w:val="both"/>
        <w:rPr>
          <w:rFonts w:eastAsia="Calibri" w:cstheme="minorHAnsi"/>
          <w:sz w:val="24"/>
          <w:szCs w:val="24"/>
        </w:rPr>
      </w:pPr>
      <w:r>
        <w:rPr>
          <w:rFonts w:eastAsia="Calibri" w:cstheme="minorHAnsi"/>
          <w:sz w:val="24"/>
          <w:szCs w:val="24"/>
        </w:rPr>
        <w:t>We will give f</w:t>
      </w:r>
      <w:r w:rsidR="00E23139" w:rsidRPr="00A4438A">
        <w:rPr>
          <w:rFonts w:eastAsia="Calibri" w:cstheme="minorHAnsi"/>
          <w:sz w:val="24"/>
          <w:szCs w:val="24"/>
        </w:rPr>
        <w:t>urther clarity on how we intend to monitor the introduction of the guidance</w:t>
      </w:r>
      <w:r w:rsidR="00686BA6">
        <w:rPr>
          <w:rFonts w:eastAsia="Calibri" w:cstheme="minorHAnsi"/>
          <w:sz w:val="24"/>
          <w:szCs w:val="24"/>
        </w:rPr>
        <w:t xml:space="preserve">. We </w:t>
      </w:r>
      <w:r w:rsidR="005E30C4">
        <w:rPr>
          <w:rFonts w:eastAsia="Calibri" w:cstheme="minorHAnsi"/>
          <w:sz w:val="24"/>
          <w:szCs w:val="24"/>
        </w:rPr>
        <w:t xml:space="preserve">will </w:t>
      </w:r>
      <w:r w:rsidR="00686BA6">
        <w:rPr>
          <w:rFonts w:eastAsia="Calibri" w:cstheme="minorHAnsi"/>
          <w:sz w:val="24"/>
          <w:szCs w:val="24"/>
        </w:rPr>
        <w:t xml:space="preserve">require </w:t>
      </w:r>
      <w:r w:rsidR="005E30C4">
        <w:rPr>
          <w:rFonts w:eastAsia="Calibri" w:cstheme="minorHAnsi"/>
          <w:sz w:val="24"/>
          <w:szCs w:val="24"/>
        </w:rPr>
        <w:t xml:space="preserve">institutions to </w:t>
      </w:r>
      <w:r w:rsidR="00686BA6">
        <w:rPr>
          <w:rFonts w:eastAsia="Calibri" w:cstheme="minorHAnsi"/>
          <w:sz w:val="24"/>
          <w:szCs w:val="24"/>
        </w:rPr>
        <w:t xml:space="preserve">explain </w:t>
      </w:r>
      <w:r w:rsidR="005E30C4">
        <w:rPr>
          <w:rFonts w:eastAsia="Calibri" w:cstheme="minorHAnsi"/>
          <w:sz w:val="24"/>
          <w:szCs w:val="24"/>
        </w:rPr>
        <w:t xml:space="preserve">how they </w:t>
      </w:r>
      <w:r w:rsidR="00686BA6">
        <w:rPr>
          <w:rFonts w:eastAsia="Calibri" w:cstheme="minorHAnsi"/>
          <w:sz w:val="24"/>
          <w:szCs w:val="24"/>
        </w:rPr>
        <w:t>are working to implement the guidance</w:t>
      </w:r>
      <w:r w:rsidR="005E30C4">
        <w:rPr>
          <w:rFonts w:eastAsia="Calibri" w:cstheme="minorHAnsi"/>
          <w:sz w:val="24"/>
          <w:szCs w:val="24"/>
        </w:rPr>
        <w:t>, and then monitor progress against that plan through our existing prescription processes</w:t>
      </w:r>
      <w:r w:rsidR="00F669CE">
        <w:rPr>
          <w:rFonts w:eastAsia="Calibri" w:cstheme="minorHAnsi"/>
          <w:sz w:val="24"/>
          <w:szCs w:val="24"/>
        </w:rPr>
        <w:t>.</w:t>
      </w:r>
    </w:p>
    <w:p w14:paraId="344FE778" w14:textId="700B6CF4" w:rsidR="004478B9" w:rsidRPr="00A4438A" w:rsidRDefault="004478B9" w:rsidP="00CF2D5B">
      <w:pPr>
        <w:pStyle w:val="ListParagraph"/>
        <w:numPr>
          <w:ilvl w:val="0"/>
          <w:numId w:val="14"/>
        </w:numPr>
        <w:spacing w:after="120" w:line="276" w:lineRule="auto"/>
        <w:ind w:left="714" w:hanging="357"/>
        <w:jc w:val="both"/>
        <w:rPr>
          <w:rFonts w:eastAsia="Calibri" w:cstheme="minorHAnsi"/>
          <w:sz w:val="24"/>
          <w:szCs w:val="24"/>
        </w:rPr>
      </w:pPr>
      <w:r>
        <w:rPr>
          <w:rFonts w:cstheme="minorHAnsi"/>
          <w:sz w:val="24"/>
          <w:szCs w:val="24"/>
        </w:rPr>
        <w:lastRenderedPageBreak/>
        <w:t xml:space="preserve">We will give institutions time to plan how they will develop and deliver any additional course content required </w:t>
      </w:r>
      <w:proofErr w:type="gramStart"/>
      <w:r>
        <w:rPr>
          <w:rFonts w:cstheme="minorHAnsi"/>
          <w:sz w:val="24"/>
          <w:szCs w:val="24"/>
        </w:rPr>
        <w:t>as a result of</w:t>
      </w:r>
      <w:proofErr w:type="gramEnd"/>
      <w:r>
        <w:rPr>
          <w:rFonts w:cstheme="minorHAnsi"/>
          <w:sz w:val="24"/>
          <w:szCs w:val="24"/>
        </w:rPr>
        <w:t xml:space="preserve"> the guidance. Our expectation is that there is a commitment to do so within a reasonable time and that progress can be demonstrated during the annual review process.</w:t>
      </w:r>
    </w:p>
    <w:p w14:paraId="1B8F596F" w14:textId="5EFD3E67" w:rsidR="00A5663B" w:rsidRPr="00A4438A" w:rsidRDefault="00A5663B" w:rsidP="00CF2D5B">
      <w:pPr>
        <w:spacing w:after="120" w:line="276" w:lineRule="auto"/>
        <w:jc w:val="both"/>
        <w:rPr>
          <w:rFonts w:cstheme="minorHAnsi"/>
          <w:sz w:val="24"/>
          <w:szCs w:val="24"/>
        </w:rPr>
      </w:pPr>
    </w:p>
    <w:p w14:paraId="0D885328" w14:textId="77777777" w:rsidR="006D3814" w:rsidRPr="00A4438A" w:rsidRDefault="006D3814" w:rsidP="00CF2D5B">
      <w:pPr>
        <w:spacing w:after="0" w:line="240" w:lineRule="auto"/>
        <w:jc w:val="both"/>
        <w:rPr>
          <w:rFonts w:cstheme="minorHAnsi"/>
          <w:b/>
          <w:bCs/>
          <w:sz w:val="24"/>
          <w:szCs w:val="24"/>
          <w:u w:val="single"/>
        </w:rPr>
      </w:pPr>
      <w:r w:rsidRPr="00A4438A">
        <w:rPr>
          <w:rFonts w:cstheme="minorHAnsi"/>
          <w:b/>
          <w:bCs/>
          <w:sz w:val="24"/>
          <w:szCs w:val="24"/>
          <w:u w:val="single"/>
        </w:rPr>
        <w:br w:type="page"/>
      </w:r>
    </w:p>
    <w:p w14:paraId="19B2C55C" w14:textId="0D15847C" w:rsidR="00E23139" w:rsidRPr="00A4438A" w:rsidRDefault="00E23139" w:rsidP="00CF2D5B">
      <w:pPr>
        <w:spacing w:after="120" w:line="276" w:lineRule="auto"/>
        <w:jc w:val="both"/>
        <w:rPr>
          <w:rFonts w:cstheme="minorHAnsi"/>
          <w:b/>
          <w:bCs/>
          <w:sz w:val="24"/>
          <w:szCs w:val="24"/>
          <w:u w:val="single"/>
        </w:rPr>
      </w:pPr>
      <w:r w:rsidRPr="00A4438A">
        <w:rPr>
          <w:rFonts w:cstheme="minorHAnsi"/>
          <w:b/>
          <w:bCs/>
          <w:sz w:val="24"/>
          <w:szCs w:val="24"/>
          <w:u w:val="single"/>
        </w:rPr>
        <w:lastRenderedPageBreak/>
        <w:t xml:space="preserve">Chapter One: Why and how we </w:t>
      </w:r>
      <w:proofErr w:type="gramStart"/>
      <w:r w:rsidRPr="00A4438A">
        <w:rPr>
          <w:rFonts w:cstheme="minorHAnsi"/>
          <w:b/>
          <w:bCs/>
          <w:sz w:val="24"/>
          <w:szCs w:val="24"/>
          <w:u w:val="single"/>
        </w:rPr>
        <w:t>consulted</w:t>
      </w:r>
      <w:proofErr w:type="gramEnd"/>
    </w:p>
    <w:p w14:paraId="06BED9D3" w14:textId="77777777" w:rsidR="00E23139" w:rsidRPr="00A4438A" w:rsidRDefault="00E23139" w:rsidP="00CF2D5B">
      <w:pPr>
        <w:spacing w:after="120" w:line="276" w:lineRule="auto"/>
        <w:jc w:val="both"/>
        <w:rPr>
          <w:rFonts w:cstheme="minorHAnsi"/>
          <w:sz w:val="24"/>
          <w:szCs w:val="24"/>
        </w:rPr>
      </w:pPr>
    </w:p>
    <w:p w14:paraId="0DDB90B5" w14:textId="77777777" w:rsidR="00D055CC" w:rsidRDefault="00463326" w:rsidP="00CF2D5B">
      <w:pPr>
        <w:spacing w:after="120" w:line="276" w:lineRule="auto"/>
        <w:jc w:val="both"/>
        <w:rPr>
          <w:rFonts w:cstheme="minorHAnsi"/>
          <w:b/>
          <w:bCs/>
          <w:sz w:val="24"/>
          <w:szCs w:val="24"/>
        </w:rPr>
      </w:pPr>
      <w:r w:rsidRPr="00A4438A">
        <w:rPr>
          <w:rFonts w:cstheme="minorHAnsi"/>
          <w:b/>
          <w:bCs/>
          <w:sz w:val="24"/>
          <w:szCs w:val="24"/>
        </w:rPr>
        <w:t>ARB’s role</w:t>
      </w:r>
    </w:p>
    <w:p w14:paraId="435F935D" w14:textId="6D7AEA05" w:rsidR="00FF6F6C" w:rsidRPr="00FF6F6C" w:rsidRDefault="003E33B6" w:rsidP="00CF2D5B">
      <w:pPr>
        <w:pStyle w:val="ListParagraph"/>
        <w:numPr>
          <w:ilvl w:val="1"/>
          <w:numId w:val="34"/>
        </w:numPr>
        <w:spacing w:after="120" w:line="276" w:lineRule="auto"/>
        <w:ind w:left="567" w:hanging="567"/>
        <w:jc w:val="both"/>
        <w:rPr>
          <w:rFonts w:cstheme="minorHAnsi"/>
          <w:b/>
          <w:bCs/>
          <w:sz w:val="24"/>
          <w:szCs w:val="24"/>
        </w:rPr>
      </w:pPr>
      <w:r w:rsidRPr="00FF6F6C">
        <w:rPr>
          <w:rFonts w:cstheme="minorHAnsi"/>
          <w:sz w:val="24"/>
          <w:szCs w:val="24"/>
        </w:rPr>
        <w:t>As</w:t>
      </w:r>
      <w:r w:rsidR="001D6528" w:rsidRPr="00FF6F6C">
        <w:rPr>
          <w:rFonts w:cstheme="minorHAnsi"/>
          <w:sz w:val="24"/>
          <w:szCs w:val="24"/>
        </w:rPr>
        <w:t xml:space="preserve"> the professional regulator of architects</w:t>
      </w:r>
      <w:r w:rsidRPr="00FF6F6C">
        <w:rPr>
          <w:rFonts w:cstheme="minorHAnsi"/>
          <w:sz w:val="24"/>
          <w:szCs w:val="24"/>
        </w:rPr>
        <w:t xml:space="preserve">, </w:t>
      </w:r>
      <w:r w:rsidR="004A1BC8">
        <w:rPr>
          <w:rFonts w:cstheme="minorHAnsi"/>
          <w:sz w:val="24"/>
          <w:szCs w:val="24"/>
        </w:rPr>
        <w:t xml:space="preserve">it is </w:t>
      </w:r>
      <w:r w:rsidRPr="00FF6F6C">
        <w:rPr>
          <w:rFonts w:cstheme="minorHAnsi"/>
          <w:sz w:val="24"/>
          <w:szCs w:val="24"/>
        </w:rPr>
        <w:t>ARB</w:t>
      </w:r>
      <w:r w:rsidR="004A1BC8">
        <w:rPr>
          <w:rFonts w:cstheme="minorHAnsi"/>
          <w:sz w:val="24"/>
          <w:szCs w:val="24"/>
        </w:rPr>
        <w:t>’s statutory responsibility to</w:t>
      </w:r>
      <w:r w:rsidR="001D6528" w:rsidRPr="00FF6F6C">
        <w:rPr>
          <w:rFonts w:cstheme="minorHAnsi"/>
          <w:sz w:val="24"/>
          <w:szCs w:val="24"/>
        </w:rPr>
        <w:t xml:space="preserve"> </w:t>
      </w:r>
      <w:r w:rsidR="004A1BC8" w:rsidRPr="00FF6F6C">
        <w:rPr>
          <w:rFonts w:cstheme="minorHAnsi"/>
          <w:sz w:val="24"/>
          <w:szCs w:val="24"/>
        </w:rPr>
        <w:t>ensure everyone</w:t>
      </w:r>
      <w:r w:rsidR="004A1BC8" w:rsidRPr="00FF6F6C">
        <w:rPr>
          <w:rFonts w:eastAsia="Calibri" w:cstheme="minorHAnsi"/>
          <w:sz w:val="24"/>
          <w:szCs w:val="24"/>
        </w:rPr>
        <w:t xml:space="preserve"> admitted to the register has the necessary skill, knowledge, experience and behaviour to practise as an architect. To achieve this, we prescribe – meaning recognise – the qualifications and practical experience that an architect must have</w:t>
      </w:r>
      <w:r w:rsidR="004A1BC8">
        <w:rPr>
          <w:rFonts w:eastAsia="Calibri" w:cstheme="minorHAnsi"/>
          <w:sz w:val="24"/>
          <w:szCs w:val="24"/>
        </w:rPr>
        <w:t xml:space="preserve"> at the point of registration</w:t>
      </w:r>
      <w:r w:rsidR="004A1BC8" w:rsidRPr="00FF6F6C">
        <w:rPr>
          <w:rFonts w:eastAsia="Calibri" w:cstheme="minorHAnsi"/>
          <w:sz w:val="24"/>
          <w:szCs w:val="24"/>
        </w:rPr>
        <w:t xml:space="preserve">. </w:t>
      </w:r>
      <w:r w:rsidR="004A1BC8" w:rsidRPr="00FF6F6C">
        <w:rPr>
          <w:rFonts w:cstheme="minorHAnsi"/>
          <w:sz w:val="24"/>
          <w:szCs w:val="24"/>
        </w:rPr>
        <w:t>We</w:t>
      </w:r>
      <w:r w:rsidR="004A1BC8">
        <w:rPr>
          <w:rFonts w:cstheme="minorHAnsi"/>
          <w:sz w:val="24"/>
          <w:szCs w:val="24"/>
        </w:rPr>
        <w:t xml:space="preserve"> currently</w:t>
      </w:r>
      <w:r w:rsidR="004A1BC8" w:rsidRPr="00FF6F6C">
        <w:rPr>
          <w:rFonts w:cstheme="minorHAnsi"/>
          <w:sz w:val="24"/>
          <w:szCs w:val="24"/>
        </w:rPr>
        <w:t xml:space="preserve"> do this by setting criteria and processes for </w:t>
      </w:r>
      <w:r w:rsidR="004A1BC8">
        <w:rPr>
          <w:rFonts w:cstheme="minorHAnsi"/>
          <w:sz w:val="24"/>
          <w:szCs w:val="24"/>
        </w:rPr>
        <w:t>institutions of Higher Education</w:t>
      </w:r>
      <w:r w:rsidR="004A1BC8" w:rsidRPr="00FF6F6C">
        <w:rPr>
          <w:rFonts w:cstheme="minorHAnsi"/>
          <w:sz w:val="24"/>
          <w:szCs w:val="24"/>
        </w:rPr>
        <w:t>, so that we can recognise their qualifications and their students can qualify as architects</w:t>
      </w:r>
      <w:r w:rsidR="001D6528" w:rsidRPr="00FF6F6C">
        <w:rPr>
          <w:rFonts w:cstheme="minorHAnsi"/>
          <w:sz w:val="24"/>
          <w:szCs w:val="24"/>
        </w:rPr>
        <w:t xml:space="preserve">. </w:t>
      </w:r>
    </w:p>
    <w:p w14:paraId="54CB0AB3" w14:textId="132F24A4" w:rsidR="00FF6F6C" w:rsidRPr="00FF6F6C" w:rsidRDefault="003E33B6" w:rsidP="00CF2D5B">
      <w:pPr>
        <w:pStyle w:val="ListParagraph"/>
        <w:numPr>
          <w:ilvl w:val="1"/>
          <w:numId w:val="34"/>
        </w:numPr>
        <w:spacing w:after="120" w:line="276" w:lineRule="auto"/>
        <w:ind w:left="567" w:hanging="567"/>
        <w:jc w:val="both"/>
        <w:rPr>
          <w:rFonts w:cstheme="minorHAnsi"/>
          <w:b/>
          <w:bCs/>
          <w:sz w:val="24"/>
          <w:szCs w:val="24"/>
        </w:rPr>
      </w:pPr>
      <w:r w:rsidRPr="00FF6F6C">
        <w:rPr>
          <w:rFonts w:cstheme="minorHAnsi"/>
          <w:sz w:val="24"/>
          <w:szCs w:val="24"/>
        </w:rPr>
        <w:t xml:space="preserve">We </w:t>
      </w:r>
      <w:r w:rsidR="004A1BC8" w:rsidRPr="00FF6F6C">
        <w:rPr>
          <w:rFonts w:cstheme="minorHAnsi"/>
          <w:sz w:val="24"/>
          <w:szCs w:val="24"/>
        </w:rPr>
        <w:t xml:space="preserve">maintain a register </w:t>
      </w:r>
      <w:r w:rsidR="004A1BC8">
        <w:rPr>
          <w:rFonts w:cstheme="minorHAnsi"/>
          <w:sz w:val="24"/>
          <w:szCs w:val="24"/>
        </w:rPr>
        <w:t>of those all those suitably qualified as part of our role in public protection. A</w:t>
      </w:r>
      <w:r w:rsidR="004A1BC8" w:rsidRPr="00FF6F6C">
        <w:rPr>
          <w:rFonts w:cstheme="minorHAnsi"/>
          <w:sz w:val="24"/>
          <w:szCs w:val="24"/>
        </w:rPr>
        <w:t xml:space="preserve">nyone using an architect’s services, or a building designed by an architect, can be reassured that the design has been developed by </w:t>
      </w:r>
      <w:r w:rsidR="004A1BC8">
        <w:rPr>
          <w:rFonts w:cstheme="minorHAnsi"/>
          <w:sz w:val="24"/>
          <w:szCs w:val="24"/>
        </w:rPr>
        <w:t xml:space="preserve">someone who is competent. </w:t>
      </w:r>
      <w:r w:rsidR="001D6528" w:rsidRPr="00FF6F6C">
        <w:rPr>
          <w:rFonts w:cstheme="minorHAnsi"/>
          <w:sz w:val="24"/>
          <w:szCs w:val="24"/>
        </w:rPr>
        <w:t xml:space="preserve"> </w:t>
      </w:r>
    </w:p>
    <w:p w14:paraId="790E8D9F" w14:textId="77777777" w:rsidR="00FF6F6C" w:rsidRDefault="00FF6F6C" w:rsidP="00CF2D5B">
      <w:pPr>
        <w:spacing w:after="120" w:line="276" w:lineRule="auto"/>
        <w:jc w:val="both"/>
        <w:rPr>
          <w:rFonts w:cstheme="minorHAnsi"/>
          <w:b/>
          <w:bCs/>
          <w:sz w:val="24"/>
          <w:szCs w:val="24"/>
        </w:rPr>
      </w:pPr>
    </w:p>
    <w:p w14:paraId="4F0B885E" w14:textId="3E5BFC1B" w:rsidR="00FF6F6C" w:rsidRPr="00FF6F6C" w:rsidRDefault="00FF6F6C" w:rsidP="00CF2D5B">
      <w:pPr>
        <w:spacing w:after="120" w:line="276" w:lineRule="auto"/>
        <w:jc w:val="both"/>
        <w:rPr>
          <w:rFonts w:cstheme="minorHAnsi"/>
          <w:b/>
          <w:bCs/>
          <w:sz w:val="24"/>
          <w:szCs w:val="24"/>
        </w:rPr>
      </w:pPr>
      <w:r w:rsidRPr="00FF6F6C">
        <w:rPr>
          <w:rFonts w:cstheme="minorHAnsi"/>
          <w:b/>
          <w:bCs/>
          <w:sz w:val="24"/>
          <w:szCs w:val="24"/>
        </w:rPr>
        <w:t>Changing context</w:t>
      </w:r>
    </w:p>
    <w:p w14:paraId="3A4F8071" w14:textId="60F5E7D0" w:rsidR="003E6DFC" w:rsidRPr="00FF6F6C" w:rsidRDefault="00501361" w:rsidP="00CF2D5B">
      <w:pPr>
        <w:pStyle w:val="ListParagraph"/>
        <w:numPr>
          <w:ilvl w:val="1"/>
          <w:numId w:val="34"/>
        </w:numPr>
        <w:spacing w:after="120" w:line="276" w:lineRule="auto"/>
        <w:ind w:left="567" w:hanging="567"/>
        <w:jc w:val="both"/>
        <w:rPr>
          <w:rFonts w:cstheme="minorHAnsi"/>
          <w:b/>
          <w:bCs/>
          <w:sz w:val="24"/>
          <w:szCs w:val="24"/>
        </w:rPr>
      </w:pPr>
      <w:r w:rsidRPr="00FF6F6C">
        <w:rPr>
          <w:rFonts w:cstheme="minorHAnsi"/>
          <w:sz w:val="24"/>
          <w:szCs w:val="24"/>
        </w:rPr>
        <w:t xml:space="preserve">As new generations of </w:t>
      </w:r>
      <w:proofErr w:type="gramStart"/>
      <w:r w:rsidRPr="00FF6F6C">
        <w:rPr>
          <w:rFonts w:cstheme="minorHAnsi"/>
          <w:sz w:val="24"/>
          <w:szCs w:val="24"/>
        </w:rPr>
        <w:t>architects</w:t>
      </w:r>
      <w:proofErr w:type="gramEnd"/>
      <w:r w:rsidRPr="00FF6F6C">
        <w:rPr>
          <w:rFonts w:cstheme="minorHAnsi"/>
          <w:sz w:val="24"/>
          <w:szCs w:val="24"/>
        </w:rPr>
        <w:t xml:space="preserve"> study and start to practice, they need to be skilled in addressing new social and environmental challenges and opportunities.</w:t>
      </w:r>
      <w:r w:rsidR="003E6DFC" w:rsidRPr="00FF6F6C">
        <w:rPr>
          <w:rFonts w:cstheme="minorHAnsi"/>
          <w:sz w:val="24"/>
          <w:szCs w:val="24"/>
        </w:rPr>
        <w:t xml:space="preserve"> In August 2020, ARB </w:t>
      </w:r>
      <w:hyperlink r:id="rId8" w:history="1">
        <w:r w:rsidR="003E6DFC" w:rsidRPr="00FF6F6C">
          <w:rPr>
            <w:rStyle w:val="Hyperlink"/>
            <w:rFonts w:cstheme="minorHAnsi"/>
            <w:sz w:val="24"/>
            <w:szCs w:val="24"/>
          </w:rPr>
          <w:t>surveyed over 4,400 architects</w:t>
        </w:r>
      </w:hyperlink>
      <w:r w:rsidR="003E6DFC" w:rsidRPr="00FF6F6C">
        <w:rPr>
          <w:rFonts w:cstheme="minorHAnsi"/>
          <w:sz w:val="24"/>
          <w:szCs w:val="24"/>
        </w:rPr>
        <w:t xml:space="preserve">. When asked about the </w:t>
      </w:r>
      <w:r w:rsidR="003E6DFC" w:rsidRPr="00CF2D5B">
        <w:rPr>
          <w:rFonts w:cstheme="minorHAnsi"/>
          <w:sz w:val="24"/>
          <w:szCs w:val="24"/>
        </w:rPr>
        <w:t xml:space="preserve">issues that had become more important </w:t>
      </w:r>
      <w:r w:rsidR="003E6DFC" w:rsidRPr="00FF6F6C">
        <w:rPr>
          <w:rFonts w:cstheme="minorHAnsi"/>
          <w:sz w:val="24"/>
          <w:szCs w:val="24"/>
        </w:rPr>
        <w:t>to their job in the last five years, the two most common issues raised by architects were safety and sustainability:</w:t>
      </w:r>
    </w:p>
    <w:p w14:paraId="58864672" w14:textId="23ED62EC" w:rsidR="003E6DFC" w:rsidRPr="00A4438A" w:rsidRDefault="003E6DFC" w:rsidP="00CF2D5B">
      <w:pPr>
        <w:pStyle w:val="ListParagraph"/>
        <w:numPr>
          <w:ilvl w:val="0"/>
          <w:numId w:val="4"/>
        </w:numPr>
        <w:spacing w:after="120" w:line="276" w:lineRule="auto"/>
        <w:jc w:val="both"/>
        <w:rPr>
          <w:rFonts w:cstheme="minorHAnsi"/>
          <w:sz w:val="24"/>
          <w:szCs w:val="24"/>
        </w:rPr>
      </w:pPr>
      <w:r w:rsidRPr="00A4438A">
        <w:rPr>
          <w:rFonts w:cstheme="minorHAnsi"/>
          <w:sz w:val="24"/>
          <w:szCs w:val="24"/>
        </w:rPr>
        <w:t>The management of health and safety risks, including fire safety, was raised by 96% of respondents as being more or much more important</w:t>
      </w:r>
      <w:r w:rsidR="008F2B1F" w:rsidRPr="00A4438A">
        <w:rPr>
          <w:rFonts w:cstheme="minorHAnsi"/>
          <w:sz w:val="24"/>
          <w:szCs w:val="24"/>
        </w:rPr>
        <w:t>;</w:t>
      </w:r>
    </w:p>
    <w:p w14:paraId="2F7F9E19" w14:textId="477252E8" w:rsidR="00501361" w:rsidRPr="00A4438A" w:rsidRDefault="003E6DFC" w:rsidP="00CF2D5B">
      <w:pPr>
        <w:pStyle w:val="ListParagraph"/>
        <w:numPr>
          <w:ilvl w:val="0"/>
          <w:numId w:val="4"/>
        </w:numPr>
        <w:spacing w:after="120" w:line="276" w:lineRule="auto"/>
        <w:jc w:val="both"/>
        <w:rPr>
          <w:rFonts w:cstheme="minorHAnsi"/>
          <w:sz w:val="24"/>
          <w:szCs w:val="24"/>
        </w:rPr>
      </w:pPr>
      <w:r w:rsidRPr="00A4438A">
        <w:rPr>
          <w:rFonts w:cstheme="minorHAnsi"/>
          <w:sz w:val="24"/>
          <w:szCs w:val="24"/>
        </w:rPr>
        <w:t xml:space="preserve">The climate emergency and sustainability </w:t>
      </w:r>
      <w:proofErr w:type="gramStart"/>
      <w:r w:rsidRPr="00A4438A">
        <w:rPr>
          <w:rFonts w:cstheme="minorHAnsi"/>
          <w:sz w:val="24"/>
          <w:szCs w:val="24"/>
        </w:rPr>
        <w:t>was</w:t>
      </w:r>
      <w:proofErr w:type="gramEnd"/>
      <w:r w:rsidRPr="00A4438A">
        <w:rPr>
          <w:rFonts w:cstheme="minorHAnsi"/>
          <w:sz w:val="24"/>
          <w:szCs w:val="24"/>
        </w:rPr>
        <w:t xml:space="preserve"> raised by 88%.</w:t>
      </w:r>
    </w:p>
    <w:p w14:paraId="5E05CB5F" w14:textId="77777777" w:rsidR="00FF6F6C" w:rsidRDefault="008F2B1F"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Following the tragedy of the Grenfell Tower fire in 2017, architects and other built environment professionals are increasingly aware of the importance of their work and the need to ensure buildings are</w:t>
      </w:r>
      <w:r w:rsidR="00627E7F" w:rsidRPr="00A4438A">
        <w:rPr>
          <w:rFonts w:cstheme="minorHAnsi"/>
          <w:sz w:val="24"/>
          <w:szCs w:val="24"/>
        </w:rPr>
        <w:t xml:space="preserve"> safe for people to live, sleep and work in</w:t>
      </w:r>
      <w:r w:rsidRPr="00A4438A">
        <w:rPr>
          <w:rFonts w:cstheme="minorHAnsi"/>
          <w:sz w:val="24"/>
          <w:szCs w:val="24"/>
        </w:rPr>
        <w:t xml:space="preserve">. </w:t>
      </w:r>
      <w:r w:rsidR="00627E7F" w:rsidRPr="00A4438A">
        <w:rPr>
          <w:rFonts w:cstheme="minorHAnsi"/>
          <w:sz w:val="24"/>
          <w:szCs w:val="24"/>
        </w:rPr>
        <w:t xml:space="preserve">The long-term effects of human intervention in the Earth’s climate must be addressed urgently. Architects have a significant role to play in addressing the challenges. </w:t>
      </w:r>
    </w:p>
    <w:p w14:paraId="65C7A0B7" w14:textId="1636E792" w:rsidR="00FF6F6C" w:rsidRDefault="008D083A"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 xml:space="preserve">These issues are crucial to the role architects </w:t>
      </w:r>
      <w:r w:rsidR="000A4D75" w:rsidRPr="00FF6F6C">
        <w:rPr>
          <w:rFonts w:cstheme="minorHAnsi"/>
          <w:sz w:val="24"/>
          <w:szCs w:val="24"/>
        </w:rPr>
        <w:t>p</w:t>
      </w:r>
      <w:r w:rsidRPr="00FF6F6C">
        <w:rPr>
          <w:rFonts w:cstheme="minorHAnsi"/>
          <w:sz w:val="24"/>
          <w:szCs w:val="24"/>
        </w:rPr>
        <w:t>lay in society, but they also go far beyond the role of architects. The M</w:t>
      </w:r>
      <w:r w:rsidR="008F2B1F" w:rsidRPr="00FF6F6C">
        <w:rPr>
          <w:rFonts w:cstheme="minorHAnsi"/>
          <w:sz w:val="24"/>
          <w:szCs w:val="24"/>
        </w:rPr>
        <w:t xml:space="preserve">inistry for Housing, Communities and Local Government </w:t>
      </w:r>
      <w:r w:rsidRPr="00FF6F6C">
        <w:rPr>
          <w:rFonts w:cstheme="minorHAnsi"/>
          <w:sz w:val="24"/>
          <w:szCs w:val="24"/>
        </w:rPr>
        <w:t xml:space="preserve">is developing new laws and policies to ensure that </w:t>
      </w:r>
      <w:r w:rsidR="00F669CE">
        <w:rPr>
          <w:rFonts w:cstheme="minorHAnsi"/>
          <w:sz w:val="24"/>
          <w:szCs w:val="24"/>
        </w:rPr>
        <w:t>everyone working in the</w:t>
      </w:r>
      <w:r w:rsidR="00F669CE" w:rsidRPr="00FF6F6C">
        <w:rPr>
          <w:rFonts w:cstheme="minorHAnsi"/>
          <w:sz w:val="24"/>
          <w:szCs w:val="24"/>
        </w:rPr>
        <w:t xml:space="preserve"> </w:t>
      </w:r>
      <w:r w:rsidRPr="00FF6F6C">
        <w:rPr>
          <w:rFonts w:cstheme="minorHAnsi"/>
          <w:sz w:val="24"/>
          <w:szCs w:val="24"/>
        </w:rPr>
        <w:t>built environment understand their own responsibilities</w:t>
      </w:r>
      <w:r w:rsidR="00E5064F" w:rsidRPr="00FF6F6C">
        <w:rPr>
          <w:rFonts w:cstheme="minorHAnsi"/>
          <w:sz w:val="24"/>
          <w:szCs w:val="24"/>
        </w:rPr>
        <w:t>. This includes</w:t>
      </w:r>
      <w:r w:rsidRPr="00FF6F6C">
        <w:rPr>
          <w:rFonts w:cstheme="minorHAnsi"/>
          <w:sz w:val="24"/>
          <w:szCs w:val="24"/>
        </w:rPr>
        <w:t xml:space="preserve"> architects, contractors, </w:t>
      </w:r>
      <w:r w:rsidR="00F669CE">
        <w:rPr>
          <w:rFonts w:cstheme="minorHAnsi"/>
          <w:sz w:val="24"/>
          <w:szCs w:val="24"/>
        </w:rPr>
        <w:t>building owners, inspectors</w:t>
      </w:r>
      <w:r w:rsidR="00E5064F" w:rsidRPr="00FF6F6C">
        <w:rPr>
          <w:rFonts w:cstheme="minorHAnsi"/>
          <w:sz w:val="24"/>
          <w:szCs w:val="24"/>
        </w:rPr>
        <w:t>,</w:t>
      </w:r>
      <w:r w:rsidRPr="00FF6F6C">
        <w:rPr>
          <w:rFonts w:cstheme="minorHAnsi"/>
          <w:sz w:val="24"/>
          <w:szCs w:val="24"/>
        </w:rPr>
        <w:t xml:space="preserve"> and other</w:t>
      </w:r>
      <w:r w:rsidR="00F669CE">
        <w:rPr>
          <w:rFonts w:cstheme="minorHAnsi"/>
          <w:sz w:val="24"/>
          <w:szCs w:val="24"/>
        </w:rPr>
        <w:t xml:space="preserve"> professionals</w:t>
      </w:r>
      <w:r w:rsidRPr="00FF6F6C">
        <w:rPr>
          <w:rFonts w:cstheme="minorHAnsi"/>
          <w:sz w:val="24"/>
          <w:szCs w:val="24"/>
        </w:rPr>
        <w:t xml:space="preserve">. </w:t>
      </w:r>
    </w:p>
    <w:p w14:paraId="3DE267AA" w14:textId="77777777" w:rsidR="00FF6F6C" w:rsidRDefault="00FF6F6C" w:rsidP="00CF2D5B">
      <w:pPr>
        <w:spacing w:after="120" w:line="276" w:lineRule="auto"/>
        <w:jc w:val="both"/>
        <w:rPr>
          <w:rFonts w:cstheme="minorHAnsi"/>
          <w:b/>
          <w:bCs/>
          <w:sz w:val="24"/>
          <w:szCs w:val="24"/>
        </w:rPr>
      </w:pPr>
    </w:p>
    <w:p w14:paraId="4F99CF4D" w14:textId="31AFBDD9" w:rsidR="00FF6F6C" w:rsidRPr="00FF6F6C" w:rsidRDefault="00FF6F6C" w:rsidP="00CF2D5B">
      <w:pPr>
        <w:spacing w:after="120" w:line="276" w:lineRule="auto"/>
        <w:jc w:val="both"/>
        <w:rPr>
          <w:rFonts w:cstheme="minorHAnsi"/>
          <w:b/>
          <w:bCs/>
          <w:sz w:val="24"/>
          <w:szCs w:val="24"/>
        </w:rPr>
      </w:pPr>
      <w:r w:rsidRPr="00FF6F6C">
        <w:rPr>
          <w:rFonts w:cstheme="minorHAnsi"/>
          <w:b/>
          <w:bCs/>
          <w:sz w:val="24"/>
          <w:szCs w:val="24"/>
        </w:rPr>
        <w:t>The role of the new guidance</w:t>
      </w:r>
    </w:p>
    <w:p w14:paraId="24A74D37" w14:textId="2ACF838E" w:rsidR="00FF6F6C" w:rsidRDefault="008F2B1F"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W</w:t>
      </w:r>
      <w:r w:rsidR="008427C5" w:rsidRPr="00FF6F6C">
        <w:rPr>
          <w:rFonts w:cstheme="minorHAnsi"/>
          <w:sz w:val="24"/>
          <w:szCs w:val="24"/>
        </w:rPr>
        <w:t>e have</w:t>
      </w:r>
      <w:r w:rsidRPr="00FF6F6C">
        <w:rPr>
          <w:rFonts w:cstheme="minorHAnsi"/>
          <w:sz w:val="24"/>
          <w:szCs w:val="24"/>
        </w:rPr>
        <w:t xml:space="preserve"> a responsibility to ensure that </w:t>
      </w:r>
      <w:r w:rsidR="005B2527" w:rsidRPr="00FF6F6C">
        <w:rPr>
          <w:rFonts w:cstheme="minorHAnsi"/>
          <w:sz w:val="24"/>
          <w:szCs w:val="24"/>
        </w:rPr>
        <w:t xml:space="preserve">institutions </w:t>
      </w:r>
      <w:r w:rsidR="00E5064F" w:rsidRPr="00FF6F6C">
        <w:rPr>
          <w:rFonts w:cstheme="minorHAnsi"/>
          <w:sz w:val="24"/>
          <w:szCs w:val="24"/>
        </w:rPr>
        <w:t xml:space="preserve">teaching </w:t>
      </w:r>
      <w:r w:rsidR="00BC12D1" w:rsidRPr="00FF6F6C">
        <w:rPr>
          <w:rFonts w:cstheme="minorHAnsi"/>
          <w:sz w:val="24"/>
          <w:szCs w:val="24"/>
        </w:rPr>
        <w:t xml:space="preserve">qualifications in </w:t>
      </w:r>
      <w:r w:rsidR="00E5064F" w:rsidRPr="00FF6F6C">
        <w:rPr>
          <w:rFonts w:cstheme="minorHAnsi"/>
          <w:sz w:val="24"/>
          <w:szCs w:val="24"/>
        </w:rPr>
        <w:t>architecture</w:t>
      </w:r>
      <w:r w:rsidRPr="00FF6F6C">
        <w:rPr>
          <w:rFonts w:cstheme="minorHAnsi"/>
          <w:sz w:val="24"/>
          <w:szCs w:val="24"/>
        </w:rPr>
        <w:t xml:space="preserve"> are </w:t>
      </w:r>
      <w:r w:rsidR="00627E7F" w:rsidRPr="00FF6F6C">
        <w:rPr>
          <w:rFonts w:cstheme="minorHAnsi"/>
          <w:sz w:val="24"/>
          <w:szCs w:val="24"/>
        </w:rPr>
        <w:t xml:space="preserve">preparing </w:t>
      </w:r>
      <w:r w:rsidR="00F669CE">
        <w:rPr>
          <w:rFonts w:cstheme="minorHAnsi"/>
          <w:sz w:val="24"/>
          <w:szCs w:val="24"/>
        </w:rPr>
        <w:t xml:space="preserve">future </w:t>
      </w:r>
      <w:r w:rsidR="00627E7F" w:rsidRPr="00FF6F6C">
        <w:rPr>
          <w:rFonts w:cstheme="minorHAnsi"/>
          <w:sz w:val="24"/>
          <w:szCs w:val="24"/>
        </w:rPr>
        <w:t xml:space="preserve">architects </w:t>
      </w:r>
      <w:r w:rsidR="00F669CE">
        <w:rPr>
          <w:rFonts w:cstheme="minorHAnsi"/>
          <w:sz w:val="24"/>
          <w:szCs w:val="24"/>
        </w:rPr>
        <w:t>for the challenges they will face in practice</w:t>
      </w:r>
      <w:r w:rsidRPr="00FF6F6C">
        <w:rPr>
          <w:rFonts w:cstheme="minorHAnsi"/>
          <w:sz w:val="24"/>
          <w:szCs w:val="24"/>
        </w:rPr>
        <w:t xml:space="preserve">. </w:t>
      </w:r>
    </w:p>
    <w:p w14:paraId="3914DB45" w14:textId="6F1316D7" w:rsidR="00CF2D5B" w:rsidRDefault="00627E7F"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lastRenderedPageBreak/>
        <w:t xml:space="preserve">The </w:t>
      </w:r>
      <w:r w:rsidR="00CF2D5B">
        <w:rPr>
          <w:rFonts w:cstheme="minorHAnsi"/>
          <w:sz w:val="24"/>
          <w:szCs w:val="24"/>
        </w:rPr>
        <w:t>c</w:t>
      </w:r>
      <w:r w:rsidRPr="00FF6F6C">
        <w:rPr>
          <w:rFonts w:cstheme="minorHAnsi"/>
          <w:sz w:val="24"/>
          <w:szCs w:val="24"/>
        </w:rPr>
        <w:t xml:space="preserve">riteria by which </w:t>
      </w:r>
      <w:r w:rsidR="00E5064F" w:rsidRPr="00FF6F6C">
        <w:rPr>
          <w:rFonts w:cstheme="minorHAnsi"/>
          <w:sz w:val="24"/>
          <w:szCs w:val="24"/>
        </w:rPr>
        <w:t>ARB recognises</w:t>
      </w:r>
      <w:r w:rsidR="005216F4" w:rsidRPr="00FF6F6C">
        <w:rPr>
          <w:rFonts w:cstheme="minorHAnsi"/>
          <w:sz w:val="24"/>
          <w:szCs w:val="24"/>
        </w:rPr>
        <w:t xml:space="preserve"> </w:t>
      </w:r>
      <w:r w:rsidRPr="00FF6F6C">
        <w:rPr>
          <w:rFonts w:cstheme="minorHAnsi"/>
          <w:sz w:val="24"/>
          <w:szCs w:val="24"/>
        </w:rPr>
        <w:t>qualifications in architecture are already set</w:t>
      </w:r>
      <w:r w:rsidR="00F669CE">
        <w:rPr>
          <w:rFonts w:cstheme="minorHAnsi"/>
          <w:sz w:val="24"/>
          <w:szCs w:val="24"/>
        </w:rPr>
        <w:t xml:space="preserve"> in regulations</w:t>
      </w:r>
      <w:r w:rsidRPr="00FF6F6C">
        <w:rPr>
          <w:rFonts w:cstheme="minorHAnsi"/>
          <w:sz w:val="24"/>
          <w:szCs w:val="24"/>
        </w:rPr>
        <w:t>, but th</w:t>
      </w:r>
      <w:r w:rsidR="00CF2D5B">
        <w:rPr>
          <w:rFonts w:cstheme="minorHAnsi"/>
          <w:sz w:val="24"/>
          <w:szCs w:val="24"/>
        </w:rPr>
        <w:t>e</w:t>
      </w:r>
      <w:r w:rsidRPr="00FF6F6C">
        <w:rPr>
          <w:rFonts w:cstheme="minorHAnsi"/>
          <w:sz w:val="24"/>
          <w:szCs w:val="24"/>
        </w:rPr>
        <w:t xml:space="preserve"> guidance </w:t>
      </w:r>
      <w:r w:rsidR="00CF2D5B">
        <w:rPr>
          <w:rFonts w:cstheme="minorHAnsi"/>
          <w:sz w:val="24"/>
          <w:szCs w:val="24"/>
        </w:rPr>
        <w:t xml:space="preserve">will </w:t>
      </w:r>
      <w:r w:rsidRPr="00FF6F6C">
        <w:rPr>
          <w:rFonts w:cstheme="minorHAnsi"/>
          <w:sz w:val="24"/>
          <w:szCs w:val="24"/>
        </w:rPr>
        <w:t xml:space="preserve">provide additional clarity on the elements of fire and life safety design and sustainability which we expect </w:t>
      </w:r>
      <w:r w:rsidR="005216F4" w:rsidRPr="00FF6F6C">
        <w:rPr>
          <w:rFonts w:cstheme="minorHAnsi"/>
          <w:sz w:val="24"/>
          <w:szCs w:val="24"/>
        </w:rPr>
        <w:t>qualifications to cover</w:t>
      </w:r>
      <w:r w:rsidRPr="00FF6F6C">
        <w:rPr>
          <w:rFonts w:cstheme="minorHAnsi"/>
          <w:sz w:val="24"/>
          <w:szCs w:val="24"/>
        </w:rPr>
        <w:t xml:space="preserve">. </w:t>
      </w:r>
    </w:p>
    <w:p w14:paraId="5A374F47" w14:textId="62CD6F69" w:rsidR="00FF6F6C" w:rsidRDefault="008F2B1F"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 xml:space="preserve">Every year </w:t>
      </w:r>
      <w:r w:rsidR="008427C5" w:rsidRPr="00FF6F6C">
        <w:rPr>
          <w:rFonts w:cstheme="minorHAnsi"/>
          <w:sz w:val="24"/>
          <w:szCs w:val="24"/>
        </w:rPr>
        <w:t xml:space="preserve">we </w:t>
      </w:r>
      <w:r w:rsidRPr="00FF6F6C">
        <w:rPr>
          <w:rFonts w:cstheme="minorHAnsi"/>
          <w:sz w:val="24"/>
          <w:szCs w:val="24"/>
        </w:rPr>
        <w:t xml:space="preserve">monitor </w:t>
      </w:r>
      <w:r w:rsidR="001B3BE3" w:rsidRPr="00FF6F6C">
        <w:rPr>
          <w:rFonts w:cstheme="minorHAnsi"/>
          <w:sz w:val="24"/>
          <w:szCs w:val="24"/>
        </w:rPr>
        <w:t>institutions offering ARB-</w:t>
      </w:r>
      <w:r w:rsidR="00436B60" w:rsidRPr="00FF6F6C">
        <w:rPr>
          <w:rFonts w:cstheme="minorHAnsi"/>
          <w:sz w:val="24"/>
          <w:szCs w:val="24"/>
        </w:rPr>
        <w:t>recognised</w:t>
      </w:r>
      <w:r w:rsidR="001B3BE3" w:rsidRPr="00FF6F6C">
        <w:rPr>
          <w:rFonts w:cstheme="minorHAnsi"/>
          <w:sz w:val="24"/>
          <w:szCs w:val="24"/>
        </w:rPr>
        <w:t xml:space="preserve"> qualification</w:t>
      </w:r>
      <w:r w:rsidR="005B2527" w:rsidRPr="00FF6F6C">
        <w:rPr>
          <w:rFonts w:cstheme="minorHAnsi"/>
          <w:sz w:val="24"/>
          <w:szCs w:val="24"/>
        </w:rPr>
        <w:t>s</w:t>
      </w:r>
      <w:r w:rsidR="00F8370F" w:rsidRPr="00FF6F6C">
        <w:rPr>
          <w:rFonts w:cstheme="minorHAnsi"/>
          <w:sz w:val="24"/>
          <w:szCs w:val="24"/>
        </w:rPr>
        <w:t>. Th</w:t>
      </w:r>
      <w:r w:rsidR="008427C5" w:rsidRPr="00FF6F6C">
        <w:rPr>
          <w:rFonts w:cstheme="minorHAnsi"/>
          <w:sz w:val="24"/>
          <w:szCs w:val="24"/>
        </w:rPr>
        <w:t>e</w:t>
      </w:r>
      <w:r w:rsidR="00F8370F" w:rsidRPr="00FF6F6C">
        <w:rPr>
          <w:rFonts w:cstheme="minorHAnsi"/>
          <w:sz w:val="24"/>
          <w:szCs w:val="24"/>
        </w:rPr>
        <w:t xml:space="preserve"> new guidance </w:t>
      </w:r>
      <w:r w:rsidR="008427C5" w:rsidRPr="00FF6F6C">
        <w:rPr>
          <w:rFonts w:cstheme="minorHAnsi"/>
          <w:sz w:val="24"/>
          <w:szCs w:val="24"/>
        </w:rPr>
        <w:t>is to</w:t>
      </w:r>
      <w:r w:rsidR="00F8370F" w:rsidRPr="00FF6F6C">
        <w:rPr>
          <w:rFonts w:cstheme="minorHAnsi"/>
          <w:sz w:val="24"/>
          <w:szCs w:val="24"/>
        </w:rPr>
        <w:t xml:space="preserve"> be shared with </w:t>
      </w:r>
      <w:r w:rsidR="001B3BE3" w:rsidRPr="00FF6F6C">
        <w:rPr>
          <w:rFonts w:cstheme="minorHAnsi"/>
          <w:sz w:val="24"/>
          <w:szCs w:val="24"/>
        </w:rPr>
        <w:t>institutions</w:t>
      </w:r>
      <w:r w:rsidR="00F8370F" w:rsidRPr="00FF6F6C">
        <w:rPr>
          <w:rFonts w:cstheme="minorHAnsi"/>
          <w:sz w:val="24"/>
          <w:szCs w:val="24"/>
        </w:rPr>
        <w:t xml:space="preserve">, so that they know what ARB will be looking for when we monitor them. </w:t>
      </w:r>
      <w:r w:rsidR="008427C5" w:rsidRPr="00FF6F6C">
        <w:rPr>
          <w:rFonts w:cstheme="minorHAnsi"/>
          <w:sz w:val="24"/>
          <w:szCs w:val="24"/>
        </w:rPr>
        <w:t>The guidance does</w:t>
      </w:r>
      <w:r w:rsidR="00487D30" w:rsidRPr="00FF6F6C">
        <w:rPr>
          <w:rFonts w:cstheme="minorHAnsi"/>
          <w:sz w:val="24"/>
          <w:szCs w:val="24"/>
        </w:rPr>
        <w:t xml:space="preserve"> not change the criteria </w:t>
      </w:r>
      <w:r w:rsidR="005B2527" w:rsidRPr="00FF6F6C">
        <w:rPr>
          <w:rFonts w:cstheme="minorHAnsi"/>
          <w:sz w:val="24"/>
          <w:szCs w:val="24"/>
        </w:rPr>
        <w:t>institution</w:t>
      </w:r>
      <w:r w:rsidR="00487D30" w:rsidRPr="00FF6F6C">
        <w:rPr>
          <w:rFonts w:cstheme="minorHAnsi"/>
          <w:sz w:val="24"/>
          <w:szCs w:val="24"/>
        </w:rPr>
        <w:t xml:space="preserve">s need to meet. Rather, each guidance document includes supporting detail about how </w:t>
      </w:r>
      <w:r w:rsidR="005B2527" w:rsidRPr="00FF6F6C">
        <w:rPr>
          <w:rFonts w:cstheme="minorHAnsi"/>
          <w:sz w:val="24"/>
          <w:szCs w:val="24"/>
        </w:rPr>
        <w:t>institution</w:t>
      </w:r>
      <w:r w:rsidR="00487D30" w:rsidRPr="00FF6F6C">
        <w:rPr>
          <w:rFonts w:cstheme="minorHAnsi"/>
          <w:sz w:val="24"/>
          <w:szCs w:val="24"/>
        </w:rPr>
        <w:t xml:space="preserve">s can continue to meet the </w:t>
      </w:r>
      <w:r w:rsidR="00F669CE">
        <w:rPr>
          <w:rFonts w:cstheme="minorHAnsi"/>
          <w:sz w:val="24"/>
          <w:szCs w:val="24"/>
        </w:rPr>
        <w:t xml:space="preserve">existing </w:t>
      </w:r>
      <w:r w:rsidR="00487D30" w:rsidRPr="00FF6F6C">
        <w:rPr>
          <w:rFonts w:cstheme="minorHAnsi"/>
          <w:sz w:val="24"/>
          <w:szCs w:val="24"/>
        </w:rPr>
        <w:t>criteria whilst addressing the issues architects have highlighted as increasing in importance.</w:t>
      </w:r>
    </w:p>
    <w:p w14:paraId="446EF2F2" w14:textId="0EA7E636" w:rsidR="00CE6E18" w:rsidRPr="00FF6F6C" w:rsidRDefault="00CE6E18"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 xml:space="preserve">The two separate guidance documents </w:t>
      </w:r>
      <w:r w:rsidR="008427C5" w:rsidRPr="00FF6F6C">
        <w:rPr>
          <w:rFonts w:cstheme="minorHAnsi"/>
          <w:sz w:val="24"/>
          <w:szCs w:val="24"/>
        </w:rPr>
        <w:t>are</w:t>
      </w:r>
      <w:r w:rsidRPr="00FF6F6C">
        <w:rPr>
          <w:rFonts w:cstheme="minorHAnsi"/>
          <w:sz w:val="24"/>
          <w:szCs w:val="24"/>
        </w:rPr>
        <w:t>:</w:t>
      </w:r>
    </w:p>
    <w:p w14:paraId="0A6CE17A" w14:textId="75F696DB" w:rsidR="00CE6E18" w:rsidRPr="00A4438A" w:rsidRDefault="00CE6E18" w:rsidP="00CF2D5B">
      <w:pPr>
        <w:pStyle w:val="ListParagraph"/>
        <w:numPr>
          <w:ilvl w:val="0"/>
          <w:numId w:val="8"/>
        </w:numPr>
        <w:spacing w:after="120" w:line="276" w:lineRule="auto"/>
        <w:ind w:left="927"/>
        <w:jc w:val="both"/>
        <w:rPr>
          <w:rFonts w:cstheme="minorHAnsi"/>
          <w:sz w:val="24"/>
          <w:szCs w:val="24"/>
        </w:rPr>
      </w:pPr>
      <w:r w:rsidRPr="00A4438A">
        <w:rPr>
          <w:rFonts w:cstheme="minorHAnsi"/>
          <w:sz w:val="24"/>
          <w:szCs w:val="24"/>
        </w:rPr>
        <w:t xml:space="preserve">Guidance for Institutions on Fire </w:t>
      </w:r>
      <w:r w:rsidR="00206CA1">
        <w:rPr>
          <w:rFonts w:cstheme="minorHAnsi"/>
          <w:sz w:val="24"/>
          <w:szCs w:val="24"/>
        </w:rPr>
        <w:t>and</w:t>
      </w:r>
      <w:r w:rsidR="00206CA1" w:rsidRPr="00A4438A">
        <w:rPr>
          <w:rFonts w:cstheme="minorHAnsi"/>
          <w:sz w:val="24"/>
          <w:szCs w:val="24"/>
        </w:rPr>
        <w:t xml:space="preserve"> </w:t>
      </w:r>
      <w:r w:rsidRPr="00A4438A">
        <w:rPr>
          <w:rFonts w:cstheme="minorHAnsi"/>
          <w:sz w:val="24"/>
          <w:szCs w:val="24"/>
        </w:rPr>
        <w:t>Life Safety Design</w:t>
      </w:r>
      <w:r w:rsidR="00132FDA" w:rsidRPr="00A4438A">
        <w:rPr>
          <w:rFonts w:cstheme="minorHAnsi"/>
          <w:sz w:val="24"/>
          <w:szCs w:val="24"/>
        </w:rPr>
        <w:t xml:space="preserve">. This guidance specifies that qualifications must address ethics and professionalism, managing risk, and fire and life safety design. </w:t>
      </w:r>
    </w:p>
    <w:p w14:paraId="610E1B4C" w14:textId="18CBC9ED" w:rsidR="00CE6E18" w:rsidRPr="00A4438A" w:rsidRDefault="00CE6E18" w:rsidP="00CF2D5B">
      <w:pPr>
        <w:pStyle w:val="ListParagraph"/>
        <w:numPr>
          <w:ilvl w:val="0"/>
          <w:numId w:val="7"/>
        </w:numPr>
        <w:spacing w:after="120" w:line="276" w:lineRule="auto"/>
        <w:ind w:left="927"/>
        <w:jc w:val="both"/>
        <w:rPr>
          <w:rFonts w:cstheme="minorHAnsi"/>
          <w:sz w:val="24"/>
          <w:szCs w:val="24"/>
        </w:rPr>
      </w:pPr>
      <w:r w:rsidRPr="00A4438A">
        <w:rPr>
          <w:rFonts w:cstheme="minorHAnsi"/>
          <w:sz w:val="24"/>
          <w:szCs w:val="24"/>
        </w:rPr>
        <w:t xml:space="preserve">Guidance for Institutions on </w:t>
      </w:r>
      <w:r w:rsidR="00F669CE">
        <w:rPr>
          <w:rFonts w:cstheme="minorHAnsi"/>
          <w:sz w:val="24"/>
          <w:szCs w:val="24"/>
        </w:rPr>
        <w:t xml:space="preserve">Environmental </w:t>
      </w:r>
      <w:r w:rsidRPr="00A4438A">
        <w:rPr>
          <w:rFonts w:cstheme="minorHAnsi"/>
          <w:sz w:val="24"/>
          <w:szCs w:val="24"/>
        </w:rPr>
        <w:t>Sustainability</w:t>
      </w:r>
      <w:r w:rsidR="00132FDA" w:rsidRPr="00A4438A">
        <w:rPr>
          <w:rFonts w:cstheme="minorHAnsi"/>
          <w:sz w:val="24"/>
          <w:szCs w:val="24"/>
        </w:rPr>
        <w:t>. This guidance specifies that qualifications must address ethics and professionalism, sustainable design principles, environmental and building physics, and construction technology.</w:t>
      </w:r>
    </w:p>
    <w:p w14:paraId="444D65D6" w14:textId="77777777" w:rsidR="00CE6E18" w:rsidRPr="00A4438A" w:rsidRDefault="00CE6E18" w:rsidP="00CF2D5B">
      <w:pPr>
        <w:spacing w:after="120" w:line="276" w:lineRule="auto"/>
        <w:jc w:val="both"/>
        <w:rPr>
          <w:rFonts w:cstheme="minorHAnsi"/>
          <w:sz w:val="24"/>
          <w:szCs w:val="24"/>
        </w:rPr>
      </w:pPr>
    </w:p>
    <w:p w14:paraId="086D8A1D" w14:textId="33E1B644" w:rsidR="00760AF9" w:rsidRPr="00A4438A" w:rsidRDefault="00463326" w:rsidP="00CF2D5B">
      <w:pPr>
        <w:spacing w:after="120" w:line="276" w:lineRule="auto"/>
        <w:jc w:val="both"/>
        <w:rPr>
          <w:rFonts w:cstheme="minorHAnsi"/>
          <w:b/>
          <w:bCs/>
          <w:sz w:val="24"/>
          <w:szCs w:val="24"/>
        </w:rPr>
      </w:pPr>
      <w:r w:rsidRPr="00A4438A">
        <w:rPr>
          <w:rFonts w:cstheme="minorHAnsi"/>
          <w:b/>
          <w:bCs/>
          <w:sz w:val="24"/>
          <w:szCs w:val="24"/>
        </w:rPr>
        <w:t>How we consulted</w:t>
      </w:r>
    </w:p>
    <w:p w14:paraId="7E46F8CB" w14:textId="77777777" w:rsidR="00CF2D5B" w:rsidRDefault="008427C5"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Before launching the consultation, we </w:t>
      </w:r>
      <w:r w:rsidR="00F8370F" w:rsidRPr="00A4438A">
        <w:rPr>
          <w:rFonts w:cstheme="minorHAnsi"/>
          <w:sz w:val="24"/>
          <w:szCs w:val="24"/>
        </w:rPr>
        <w:t>developed th</w:t>
      </w:r>
      <w:r w:rsidRPr="00A4438A">
        <w:rPr>
          <w:rFonts w:cstheme="minorHAnsi"/>
          <w:sz w:val="24"/>
          <w:szCs w:val="24"/>
        </w:rPr>
        <w:t>e</w:t>
      </w:r>
      <w:r w:rsidR="00F8370F" w:rsidRPr="00A4438A">
        <w:rPr>
          <w:rFonts w:cstheme="minorHAnsi"/>
          <w:sz w:val="24"/>
          <w:szCs w:val="24"/>
        </w:rPr>
        <w:t xml:space="preserve"> guidance</w:t>
      </w:r>
      <w:r w:rsidR="00627E7F" w:rsidRPr="00A4438A">
        <w:rPr>
          <w:rFonts w:cstheme="minorHAnsi"/>
          <w:sz w:val="24"/>
          <w:szCs w:val="24"/>
        </w:rPr>
        <w:t xml:space="preserve"> with </w:t>
      </w:r>
      <w:r w:rsidR="007B1A5F" w:rsidRPr="00A4438A">
        <w:rPr>
          <w:rFonts w:cstheme="minorHAnsi"/>
          <w:sz w:val="24"/>
          <w:szCs w:val="24"/>
        </w:rPr>
        <w:t xml:space="preserve">detailed input from subject matter </w:t>
      </w:r>
      <w:r w:rsidR="00627E7F" w:rsidRPr="00A4438A">
        <w:rPr>
          <w:rFonts w:cstheme="minorHAnsi"/>
          <w:sz w:val="24"/>
          <w:szCs w:val="24"/>
        </w:rPr>
        <w:t>experts and the professional bodies</w:t>
      </w:r>
      <w:r w:rsidR="00F8370F" w:rsidRPr="00A4438A">
        <w:rPr>
          <w:rFonts w:cstheme="minorHAnsi"/>
          <w:sz w:val="24"/>
          <w:szCs w:val="24"/>
        </w:rPr>
        <w:t>.</w:t>
      </w:r>
      <w:r w:rsidR="00CE6E18" w:rsidRPr="00A4438A">
        <w:rPr>
          <w:rFonts w:cstheme="minorHAnsi"/>
          <w:sz w:val="24"/>
          <w:szCs w:val="24"/>
        </w:rPr>
        <w:t xml:space="preserve"> </w:t>
      </w:r>
      <w:r w:rsidR="003B2685" w:rsidRPr="00A4438A">
        <w:rPr>
          <w:rFonts w:cstheme="minorHAnsi"/>
          <w:sz w:val="24"/>
          <w:szCs w:val="24"/>
        </w:rPr>
        <w:t>W</w:t>
      </w:r>
      <w:r w:rsidR="00CE6E18" w:rsidRPr="00A4438A">
        <w:rPr>
          <w:rFonts w:cstheme="minorHAnsi"/>
          <w:sz w:val="24"/>
          <w:szCs w:val="24"/>
        </w:rPr>
        <w:t xml:space="preserve">e </w:t>
      </w:r>
      <w:r w:rsidR="003B2685" w:rsidRPr="00A4438A">
        <w:rPr>
          <w:rFonts w:cstheme="minorHAnsi"/>
          <w:sz w:val="24"/>
          <w:szCs w:val="24"/>
        </w:rPr>
        <w:t xml:space="preserve">also </w:t>
      </w:r>
      <w:r w:rsidR="00423271" w:rsidRPr="00A4438A">
        <w:rPr>
          <w:rFonts w:cstheme="minorHAnsi"/>
          <w:sz w:val="24"/>
          <w:szCs w:val="24"/>
        </w:rPr>
        <w:t xml:space="preserve">had feedback from </w:t>
      </w:r>
      <w:r w:rsidR="00CE6E18" w:rsidRPr="00A4438A">
        <w:rPr>
          <w:rFonts w:cstheme="minorHAnsi"/>
          <w:sz w:val="24"/>
          <w:szCs w:val="24"/>
        </w:rPr>
        <w:t xml:space="preserve">the Standing Conference of Heads of Schools of Architecture (SCHOSA) to help us understand </w:t>
      </w:r>
      <w:r w:rsidR="007B1A5F" w:rsidRPr="00A4438A">
        <w:rPr>
          <w:rFonts w:cstheme="minorHAnsi"/>
          <w:sz w:val="24"/>
          <w:szCs w:val="24"/>
        </w:rPr>
        <w:t xml:space="preserve">better the impact of the guidance on </w:t>
      </w:r>
      <w:r w:rsidR="005B2527" w:rsidRPr="00A4438A">
        <w:rPr>
          <w:rFonts w:cstheme="minorHAnsi"/>
          <w:sz w:val="24"/>
          <w:szCs w:val="24"/>
        </w:rPr>
        <w:t>institutions</w:t>
      </w:r>
      <w:r w:rsidR="00CE6E18" w:rsidRPr="00A4438A">
        <w:rPr>
          <w:rFonts w:cstheme="minorHAnsi"/>
          <w:sz w:val="24"/>
          <w:szCs w:val="24"/>
        </w:rPr>
        <w:t xml:space="preserve"> </w:t>
      </w:r>
      <w:r w:rsidR="007B1A5F" w:rsidRPr="00A4438A">
        <w:rPr>
          <w:rFonts w:cstheme="minorHAnsi"/>
          <w:sz w:val="24"/>
          <w:szCs w:val="24"/>
        </w:rPr>
        <w:t>and any practical implications</w:t>
      </w:r>
      <w:r w:rsidR="00CE6E18" w:rsidRPr="00A4438A">
        <w:rPr>
          <w:rFonts w:cstheme="minorHAnsi"/>
          <w:sz w:val="24"/>
          <w:szCs w:val="24"/>
        </w:rPr>
        <w:t xml:space="preserve">. </w:t>
      </w:r>
      <w:r w:rsidRPr="00A4438A">
        <w:rPr>
          <w:rFonts w:cstheme="minorHAnsi"/>
          <w:sz w:val="24"/>
          <w:szCs w:val="24"/>
        </w:rPr>
        <w:t>The consultation built on that engagement to formally invite</w:t>
      </w:r>
      <w:r w:rsidR="00CE6E18" w:rsidRPr="00A4438A">
        <w:rPr>
          <w:rFonts w:cstheme="minorHAnsi"/>
          <w:sz w:val="24"/>
          <w:szCs w:val="24"/>
        </w:rPr>
        <w:t xml:space="preserve"> feedback </w:t>
      </w:r>
      <w:r w:rsidR="00BC12D1" w:rsidRPr="00A4438A">
        <w:rPr>
          <w:rFonts w:cstheme="minorHAnsi"/>
          <w:sz w:val="24"/>
          <w:szCs w:val="24"/>
        </w:rPr>
        <w:t xml:space="preserve">from </w:t>
      </w:r>
      <w:r w:rsidR="007B1A5F" w:rsidRPr="00A4438A">
        <w:rPr>
          <w:rFonts w:cstheme="minorHAnsi"/>
          <w:sz w:val="24"/>
          <w:szCs w:val="24"/>
        </w:rPr>
        <w:t xml:space="preserve">anyone with an interest in the </w:t>
      </w:r>
      <w:r w:rsidRPr="00A4438A">
        <w:rPr>
          <w:rFonts w:cstheme="minorHAnsi"/>
          <w:sz w:val="24"/>
          <w:szCs w:val="24"/>
        </w:rPr>
        <w:t>guidance</w:t>
      </w:r>
      <w:r w:rsidR="007B1A5F" w:rsidRPr="00A4438A">
        <w:rPr>
          <w:rFonts w:cstheme="minorHAnsi"/>
          <w:sz w:val="24"/>
          <w:szCs w:val="24"/>
        </w:rPr>
        <w:t xml:space="preserve">, particularly individual </w:t>
      </w:r>
      <w:r w:rsidR="005B2527" w:rsidRPr="00A4438A">
        <w:rPr>
          <w:rFonts w:cstheme="minorHAnsi"/>
          <w:sz w:val="24"/>
          <w:szCs w:val="24"/>
        </w:rPr>
        <w:t>institutions</w:t>
      </w:r>
      <w:r w:rsidR="00436B60" w:rsidRPr="00A4438A">
        <w:rPr>
          <w:rFonts w:cstheme="minorHAnsi"/>
          <w:sz w:val="24"/>
          <w:szCs w:val="24"/>
        </w:rPr>
        <w:t>,</w:t>
      </w:r>
      <w:r w:rsidR="00CE6E18" w:rsidRPr="00A4438A">
        <w:rPr>
          <w:rFonts w:cstheme="minorHAnsi"/>
          <w:sz w:val="24"/>
          <w:szCs w:val="24"/>
        </w:rPr>
        <w:t xml:space="preserve"> before </w:t>
      </w:r>
      <w:r w:rsidR="007B1A5F" w:rsidRPr="00A4438A">
        <w:rPr>
          <w:rFonts w:cstheme="minorHAnsi"/>
          <w:sz w:val="24"/>
          <w:szCs w:val="24"/>
        </w:rPr>
        <w:t xml:space="preserve">the </w:t>
      </w:r>
      <w:r w:rsidRPr="00A4438A">
        <w:rPr>
          <w:rFonts w:cstheme="minorHAnsi"/>
          <w:sz w:val="24"/>
          <w:szCs w:val="24"/>
        </w:rPr>
        <w:t xml:space="preserve">ARB </w:t>
      </w:r>
      <w:r w:rsidR="007B1A5F" w:rsidRPr="00A4438A">
        <w:rPr>
          <w:rFonts w:cstheme="minorHAnsi"/>
          <w:sz w:val="24"/>
          <w:szCs w:val="24"/>
        </w:rPr>
        <w:t xml:space="preserve">Board </w:t>
      </w:r>
      <w:r w:rsidRPr="00A4438A">
        <w:rPr>
          <w:rFonts w:cstheme="minorHAnsi"/>
          <w:sz w:val="24"/>
          <w:szCs w:val="24"/>
        </w:rPr>
        <w:t>considered whether to formally</w:t>
      </w:r>
      <w:r w:rsidR="007B1A5F" w:rsidRPr="00A4438A">
        <w:rPr>
          <w:rFonts w:cstheme="minorHAnsi"/>
          <w:sz w:val="24"/>
          <w:szCs w:val="24"/>
        </w:rPr>
        <w:t xml:space="preserve"> approve </w:t>
      </w:r>
      <w:r w:rsidR="00CE6E18" w:rsidRPr="00A4438A">
        <w:rPr>
          <w:rFonts w:cstheme="minorHAnsi"/>
          <w:sz w:val="24"/>
          <w:szCs w:val="24"/>
        </w:rPr>
        <w:t>the guidance</w:t>
      </w:r>
      <w:r w:rsidRPr="00A4438A">
        <w:rPr>
          <w:rFonts w:cstheme="minorHAnsi"/>
          <w:sz w:val="24"/>
          <w:szCs w:val="24"/>
        </w:rPr>
        <w:t xml:space="preserve"> and introduce it</w:t>
      </w:r>
      <w:r w:rsidR="00CE6E18" w:rsidRPr="00A4438A">
        <w:rPr>
          <w:rFonts w:cstheme="minorHAnsi"/>
          <w:sz w:val="24"/>
          <w:szCs w:val="24"/>
        </w:rPr>
        <w:t xml:space="preserve">. </w:t>
      </w:r>
    </w:p>
    <w:p w14:paraId="5646DE77" w14:textId="702CB5CA" w:rsidR="00FF6F6C" w:rsidRDefault="00CE6E18"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It </w:t>
      </w:r>
      <w:r w:rsidR="008427C5" w:rsidRPr="00A4438A">
        <w:rPr>
          <w:rFonts w:cstheme="minorHAnsi"/>
          <w:sz w:val="24"/>
          <w:szCs w:val="24"/>
        </w:rPr>
        <w:t>was</w:t>
      </w:r>
      <w:r w:rsidRPr="00A4438A">
        <w:rPr>
          <w:rFonts w:cstheme="minorHAnsi"/>
          <w:sz w:val="24"/>
          <w:szCs w:val="24"/>
        </w:rPr>
        <w:t xml:space="preserve"> important </w:t>
      </w:r>
      <w:r w:rsidR="008427C5" w:rsidRPr="00A4438A">
        <w:rPr>
          <w:rFonts w:cstheme="minorHAnsi"/>
          <w:sz w:val="24"/>
          <w:szCs w:val="24"/>
        </w:rPr>
        <w:t xml:space="preserve">to us </w:t>
      </w:r>
      <w:r w:rsidRPr="00A4438A">
        <w:rPr>
          <w:rFonts w:cstheme="minorHAnsi"/>
          <w:sz w:val="24"/>
          <w:szCs w:val="24"/>
        </w:rPr>
        <w:t xml:space="preserve">that </w:t>
      </w:r>
      <w:r w:rsidR="005B2527" w:rsidRPr="00A4438A">
        <w:rPr>
          <w:rFonts w:cstheme="minorHAnsi"/>
          <w:sz w:val="24"/>
          <w:szCs w:val="24"/>
        </w:rPr>
        <w:t>institutions offering ARB-</w:t>
      </w:r>
      <w:r w:rsidR="00436B60" w:rsidRPr="00A4438A">
        <w:rPr>
          <w:rFonts w:cstheme="minorHAnsi"/>
          <w:sz w:val="24"/>
          <w:szCs w:val="24"/>
        </w:rPr>
        <w:t>recognised</w:t>
      </w:r>
      <w:r w:rsidR="005B2527" w:rsidRPr="00A4438A">
        <w:rPr>
          <w:rFonts w:cstheme="minorHAnsi"/>
          <w:sz w:val="24"/>
          <w:szCs w:val="24"/>
        </w:rPr>
        <w:t xml:space="preserve"> qualifications</w:t>
      </w:r>
      <w:r w:rsidRPr="00A4438A">
        <w:rPr>
          <w:rFonts w:cstheme="minorHAnsi"/>
          <w:sz w:val="24"/>
          <w:szCs w:val="24"/>
        </w:rPr>
        <w:t xml:space="preserve"> </w:t>
      </w:r>
      <w:r w:rsidR="007B1A5F" w:rsidRPr="00A4438A">
        <w:rPr>
          <w:rFonts w:cstheme="minorHAnsi"/>
          <w:sz w:val="24"/>
          <w:szCs w:val="24"/>
        </w:rPr>
        <w:t>ha</w:t>
      </w:r>
      <w:r w:rsidR="008427C5" w:rsidRPr="00A4438A">
        <w:rPr>
          <w:rFonts w:cstheme="minorHAnsi"/>
          <w:sz w:val="24"/>
          <w:szCs w:val="24"/>
        </w:rPr>
        <w:t>d</w:t>
      </w:r>
      <w:r w:rsidR="007B1A5F" w:rsidRPr="00A4438A">
        <w:rPr>
          <w:rFonts w:cstheme="minorHAnsi"/>
          <w:sz w:val="24"/>
          <w:szCs w:val="24"/>
        </w:rPr>
        <w:t xml:space="preserve"> an opportunity to provide feedback both on the detail within the guidance documents, </w:t>
      </w:r>
      <w:proofErr w:type="gramStart"/>
      <w:r w:rsidR="008427C5" w:rsidRPr="00A4438A">
        <w:rPr>
          <w:rFonts w:cstheme="minorHAnsi"/>
          <w:sz w:val="24"/>
          <w:szCs w:val="24"/>
        </w:rPr>
        <w:t xml:space="preserve">and </w:t>
      </w:r>
      <w:r w:rsidR="007B1A5F" w:rsidRPr="00A4438A">
        <w:rPr>
          <w:rFonts w:cstheme="minorHAnsi"/>
          <w:sz w:val="24"/>
          <w:szCs w:val="24"/>
        </w:rPr>
        <w:t>also</w:t>
      </w:r>
      <w:proofErr w:type="gramEnd"/>
      <w:r w:rsidR="007B1A5F" w:rsidRPr="00A4438A">
        <w:rPr>
          <w:rFonts w:cstheme="minorHAnsi"/>
          <w:sz w:val="24"/>
          <w:szCs w:val="24"/>
        </w:rPr>
        <w:t xml:space="preserve"> </w:t>
      </w:r>
      <w:r w:rsidR="008427C5" w:rsidRPr="00A4438A">
        <w:rPr>
          <w:rFonts w:cstheme="minorHAnsi"/>
          <w:sz w:val="24"/>
          <w:szCs w:val="24"/>
        </w:rPr>
        <w:t xml:space="preserve">on </w:t>
      </w:r>
      <w:r w:rsidR="007B1A5F" w:rsidRPr="00A4438A">
        <w:rPr>
          <w:rFonts w:cstheme="minorHAnsi"/>
          <w:sz w:val="24"/>
          <w:szCs w:val="24"/>
        </w:rPr>
        <w:t>the impact the guidance w</w:t>
      </w:r>
      <w:r w:rsidR="008427C5" w:rsidRPr="00A4438A">
        <w:rPr>
          <w:rFonts w:cstheme="minorHAnsi"/>
          <w:sz w:val="24"/>
          <w:szCs w:val="24"/>
        </w:rPr>
        <w:t>ould</w:t>
      </w:r>
      <w:r w:rsidR="007B1A5F" w:rsidRPr="00A4438A">
        <w:rPr>
          <w:rFonts w:cstheme="minorHAnsi"/>
          <w:sz w:val="24"/>
          <w:szCs w:val="24"/>
        </w:rPr>
        <w:t xml:space="preserve"> have on the ways in which architecture qualifications are taught.</w:t>
      </w:r>
    </w:p>
    <w:p w14:paraId="2558AD9D" w14:textId="3D17D4AE" w:rsidR="00CE6E18" w:rsidRPr="00FF6F6C" w:rsidRDefault="00CE6E18"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 xml:space="preserve">Whilst the guidance </w:t>
      </w:r>
      <w:r w:rsidR="008427C5" w:rsidRPr="00FF6F6C">
        <w:rPr>
          <w:rFonts w:cstheme="minorHAnsi"/>
          <w:sz w:val="24"/>
          <w:szCs w:val="24"/>
        </w:rPr>
        <w:t xml:space="preserve">is intended to </w:t>
      </w:r>
      <w:r w:rsidRPr="00FF6F6C">
        <w:rPr>
          <w:rFonts w:cstheme="minorHAnsi"/>
          <w:sz w:val="24"/>
          <w:szCs w:val="24"/>
        </w:rPr>
        <w:t>appl</w:t>
      </w:r>
      <w:r w:rsidR="008427C5" w:rsidRPr="00FF6F6C">
        <w:rPr>
          <w:rFonts w:cstheme="minorHAnsi"/>
          <w:sz w:val="24"/>
          <w:szCs w:val="24"/>
        </w:rPr>
        <w:t>y</w:t>
      </w:r>
      <w:r w:rsidRPr="00FF6F6C">
        <w:rPr>
          <w:rFonts w:cstheme="minorHAnsi"/>
          <w:sz w:val="24"/>
          <w:szCs w:val="24"/>
        </w:rPr>
        <w:t xml:space="preserve"> to </w:t>
      </w:r>
      <w:r w:rsidR="005B2527" w:rsidRPr="00FF6F6C">
        <w:rPr>
          <w:rFonts w:cstheme="minorHAnsi"/>
          <w:sz w:val="24"/>
          <w:szCs w:val="24"/>
        </w:rPr>
        <w:t>institutions</w:t>
      </w:r>
      <w:r w:rsidRPr="00FF6F6C">
        <w:rPr>
          <w:rFonts w:cstheme="minorHAnsi"/>
          <w:sz w:val="24"/>
          <w:szCs w:val="24"/>
        </w:rPr>
        <w:t xml:space="preserve">, it relates to issues that are crucial to the built environment sector at large, and </w:t>
      </w:r>
      <w:r w:rsidR="00132FDA" w:rsidRPr="00FF6F6C">
        <w:rPr>
          <w:rFonts w:cstheme="minorHAnsi"/>
          <w:sz w:val="24"/>
          <w:szCs w:val="24"/>
        </w:rPr>
        <w:t>of course to society. We therefore r</w:t>
      </w:r>
      <w:r w:rsidR="00463326" w:rsidRPr="00FF6F6C">
        <w:rPr>
          <w:rFonts w:cstheme="minorHAnsi"/>
          <w:sz w:val="24"/>
          <w:szCs w:val="24"/>
        </w:rPr>
        <w:t>an</w:t>
      </w:r>
      <w:r w:rsidR="00132FDA" w:rsidRPr="00FF6F6C">
        <w:rPr>
          <w:rFonts w:cstheme="minorHAnsi"/>
          <w:sz w:val="24"/>
          <w:szCs w:val="24"/>
        </w:rPr>
        <w:t xml:space="preserve"> a fully transparent public </w:t>
      </w:r>
      <w:proofErr w:type="gramStart"/>
      <w:r w:rsidR="00132FDA" w:rsidRPr="00FF6F6C">
        <w:rPr>
          <w:rFonts w:cstheme="minorHAnsi"/>
          <w:sz w:val="24"/>
          <w:szCs w:val="24"/>
        </w:rPr>
        <w:t>consultation, and</w:t>
      </w:r>
      <w:proofErr w:type="gramEnd"/>
      <w:r w:rsidR="00132FDA" w:rsidRPr="00FF6F6C">
        <w:rPr>
          <w:rFonts w:cstheme="minorHAnsi"/>
          <w:sz w:val="24"/>
          <w:szCs w:val="24"/>
        </w:rPr>
        <w:t xml:space="preserve"> invite</w:t>
      </w:r>
      <w:r w:rsidR="00463326" w:rsidRPr="00FF6F6C">
        <w:rPr>
          <w:rFonts w:cstheme="minorHAnsi"/>
          <w:sz w:val="24"/>
          <w:szCs w:val="24"/>
        </w:rPr>
        <w:t>d</w:t>
      </w:r>
      <w:r w:rsidR="00132FDA" w:rsidRPr="00FF6F6C">
        <w:rPr>
          <w:rFonts w:cstheme="minorHAnsi"/>
          <w:sz w:val="24"/>
          <w:szCs w:val="24"/>
        </w:rPr>
        <w:t xml:space="preserve"> responses from any</w:t>
      </w:r>
      <w:r w:rsidR="00F241C5" w:rsidRPr="00FF6F6C">
        <w:rPr>
          <w:rFonts w:cstheme="minorHAnsi"/>
          <w:sz w:val="24"/>
          <w:szCs w:val="24"/>
        </w:rPr>
        <w:t xml:space="preserve">one who </w:t>
      </w:r>
      <w:r w:rsidR="00132FDA" w:rsidRPr="00FF6F6C">
        <w:rPr>
          <w:rFonts w:cstheme="minorHAnsi"/>
          <w:sz w:val="24"/>
          <w:szCs w:val="24"/>
        </w:rPr>
        <w:t>interest</w:t>
      </w:r>
      <w:r w:rsidR="00487D30" w:rsidRPr="00FF6F6C">
        <w:rPr>
          <w:rFonts w:cstheme="minorHAnsi"/>
          <w:sz w:val="24"/>
          <w:szCs w:val="24"/>
        </w:rPr>
        <w:t>ed</w:t>
      </w:r>
      <w:r w:rsidR="00F241C5" w:rsidRPr="00FF6F6C">
        <w:rPr>
          <w:rFonts w:cstheme="minorHAnsi"/>
          <w:sz w:val="24"/>
          <w:szCs w:val="24"/>
        </w:rPr>
        <w:t>.</w:t>
      </w:r>
      <w:r w:rsidR="00132FDA" w:rsidRPr="00FF6F6C">
        <w:rPr>
          <w:rFonts w:cstheme="minorHAnsi"/>
          <w:sz w:val="24"/>
          <w:szCs w:val="24"/>
        </w:rPr>
        <w:t xml:space="preserve"> </w:t>
      </w:r>
      <w:r w:rsidR="00463326" w:rsidRPr="00FF6F6C">
        <w:rPr>
          <w:rFonts w:cstheme="minorHAnsi"/>
          <w:sz w:val="24"/>
          <w:szCs w:val="24"/>
        </w:rPr>
        <w:t>We promoted the consultation through:</w:t>
      </w:r>
    </w:p>
    <w:p w14:paraId="2C9C4F24" w14:textId="10063936" w:rsidR="00463326" w:rsidRPr="00FF6F6C" w:rsidRDefault="00206CA1"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an </w:t>
      </w:r>
      <w:proofErr w:type="spellStart"/>
      <w:r w:rsidR="00463326" w:rsidRPr="00FF6F6C">
        <w:rPr>
          <w:rFonts w:eastAsia="Times New Roman" w:cstheme="minorHAnsi"/>
          <w:color w:val="000000"/>
          <w:sz w:val="24"/>
          <w:szCs w:val="24"/>
          <w:lang w:eastAsia="en-GB"/>
        </w:rPr>
        <w:t>eBulletin</w:t>
      </w:r>
      <w:proofErr w:type="spellEnd"/>
      <w:r w:rsidR="00463326" w:rsidRPr="00FF6F6C">
        <w:rPr>
          <w:rFonts w:eastAsia="Times New Roman" w:cstheme="minorHAnsi"/>
          <w:color w:val="000000"/>
          <w:sz w:val="24"/>
          <w:szCs w:val="24"/>
          <w:lang w:eastAsia="en-GB"/>
        </w:rPr>
        <w:t xml:space="preserve"> sent to </w:t>
      </w:r>
      <w:r w:rsidR="00C533AD" w:rsidRPr="002866AB">
        <w:rPr>
          <w:rFonts w:cstheme="minorHAnsi"/>
          <w:sz w:val="24"/>
          <w:szCs w:val="24"/>
        </w:rPr>
        <w:t xml:space="preserve">43,035 </w:t>
      </w:r>
      <w:r w:rsidR="00463326" w:rsidRPr="00FF6F6C">
        <w:rPr>
          <w:rFonts w:eastAsia="Times New Roman" w:cstheme="minorHAnsi"/>
          <w:color w:val="000000"/>
          <w:sz w:val="24"/>
          <w:szCs w:val="24"/>
          <w:lang w:eastAsia="en-GB"/>
        </w:rPr>
        <w:t>architects</w:t>
      </w:r>
      <w:r w:rsidR="00CF2D5B">
        <w:rPr>
          <w:rFonts w:eastAsia="Times New Roman" w:cstheme="minorHAnsi"/>
          <w:color w:val="000000"/>
          <w:sz w:val="24"/>
          <w:szCs w:val="24"/>
          <w:lang w:eastAsia="en-GB"/>
        </w:rPr>
        <w:t>;</w:t>
      </w:r>
    </w:p>
    <w:p w14:paraId="4993FC72" w14:textId="59CD8496" w:rsidR="00463326" w:rsidRPr="00FF6F6C" w:rsidRDefault="00206CA1"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Pr>
          <w:rFonts w:eastAsia="Times New Roman" w:cstheme="minorHAnsi"/>
          <w:color w:val="000000"/>
          <w:sz w:val="24"/>
          <w:szCs w:val="24"/>
          <w:lang w:eastAsia="en-GB"/>
        </w:rPr>
        <w:t xml:space="preserve">our </w:t>
      </w:r>
      <w:r w:rsidR="00CF2D5B">
        <w:rPr>
          <w:rFonts w:eastAsia="Times New Roman" w:cstheme="minorHAnsi"/>
          <w:color w:val="000000"/>
          <w:sz w:val="24"/>
          <w:szCs w:val="24"/>
          <w:lang w:eastAsia="en-GB"/>
        </w:rPr>
        <w:t xml:space="preserve">online </w:t>
      </w:r>
      <w:r w:rsidR="00463326" w:rsidRPr="00FF6F6C">
        <w:rPr>
          <w:rFonts w:eastAsia="Times New Roman" w:cstheme="minorHAnsi"/>
          <w:color w:val="000000"/>
          <w:sz w:val="24"/>
          <w:szCs w:val="24"/>
          <w:lang w:eastAsia="en-GB"/>
        </w:rPr>
        <w:t xml:space="preserve">social </w:t>
      </w:r>
      <w:r w:rsidR="00CF2D5B">
        <w:rPr>
          <w:rFonts w:eastAsia="Times New Roman" w:cstheme="minorHAnsi"/>
          <w:color w:val="000000"/>
          <w:sz w:val="24"/>
          <w:szCs w:val="24"/>
          <w:lang w:eastAsia="en-GB"/>
        </w:rPr>
        <w:t xml:space="preserve">media </w:t>
      </w:r>
      <w:r w:rsidR="00463326" w:rsidRPr="00FF6F6C">
        <w:rPr>
          <w:rFonts w:eastAsia="Times New Roman" w:cstheme="minorHAnsi"/>
          <w:color w:val="000000"/>
          <w:sz w:val="24"/>
          <w:szCs w:val="24"/>
          <w:lang w:eastAsia="en-GB"/>
        </w:rPr>
        <w:t>channels</w:t>
      </w:r>
      <w:r>
        <w:rPr>
          <w:rFonts w:eastAsia="Times New Roman" w:cstheme="minorHAnsi"/>
          <w:color w:val="000000"/>
          <w:sz w:val="24"/>
          <w:szCs w:val="24"/>
          <w:lang w:eastAsia="en-GB"/>
        </w:rPr>
        <w:t>;</w:t>
      </w:r>
    </w:p>
    <w:p w14:paraId="1C776B25" w14:textId="6E4D1401" w:rsidR="00463326" w:rsidRPr="00FF6F6C" w:rsidRDefault="00206CA1"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Pr>
          <w:rFonts w:eastAsia="Times New Roman" w:cstheme="minorHAnsi"/>
          <w:color w:val="000000"/>
          <w:sz w:val="24"/>
          <w:szCs w:val="24"/>
          <w:lang w:eastAsia="en-GB"/>
        </w:rPr>
        <w:t>d</w:t>
      </w:r>
      <w:r w:rsidRPr="00FF6F6C">
        <w:rPr>
          <w:rFonts w:eastAsia="Times New Roman" w:cstheme="minorHAnsi"/>
          <w:color w:val="000000"/>
          <w:sz w:val="24"/>
          <w:szCs w:val="24"/>
          <w:lang w:eastAsia="en-GB"/>
        </w:rPr>
        <w:t xml:space="preserve">irect </w:t>
      </w:r>
      <w:r w:rsidR="00463326" w:rsidRPr="00FF6F6C">
        <w:rPr>
          <w:rFonts w:eastAsia="Times New Roman" w:cstheme="minorHAnsi"/>
          <w:color w:val="000000"/>
          <w:sz w:val="24"/>
          <w:szCs w:val="24"/>
          <w:lang w:eastAsia="en-GB"/>
        </w:rPr>
        <w:t xml:space="preserve">emails to </w:t>
      </w:r>
      <w:r w:rsidR="001C7C0B">
        <w:rPr>
          <w:rFonts w:eastAsia="Times New Roman" w:cstheme="minorHAnsi"/>
          <w:color w:val="000000"/>
          <w:sz w:val="24"/>
          <w:szCs w:val="24"/>
          <w:lang w:eastAsia="en-GB"/>
        </w:rPr>
        <w:t>more than</w:t>
      </w:r>
      <w:r w:rsidR="00546D94" w:rsidRPr="00FF6F6C">
        <w:rPr>
          <w:rFonts w:eastAsia="Times New Roman" w:cstheme="minorHAnsi"/>
          <w:color w:val="000000"/>
          <w:sz w:val="24"/>
          <w:szCs w:val="24"/>
          <w:lang w:eastAsia="en-GB"/>
        </w:rPr>
        <w:t xml:space="preserve"> </w:t>
      </w:r>
      <w:r w:rsidR="00463326" w:rsidRPr="00FF6F6C">
        <w:rPr>
          <w:rFonts w:eastAsia="Times New Roman" w:cstheme="minorHAnsi"/>
          <w:color w:val="000000"/>
          <w:sz w:val="24"/>
          <w:szCs w:val="24"/>
          <w:lang w:eastAsia="en-GB"/>
        </w:rPr>
        <w:t>60</w:t>
      </w:r>
      <w:r w:rsidR="00C533AD">
        <w:rPr>
          <w:rFonts w:eastAsia="Times New Roman" w:cstheme="minorHAnsi"/>
          <w:color w:val="000000"/>
          <w:sz w:val="24"/>
          <w:szCs w:val="24"/>
          <w:lang w:eastAsia="en-GB"/>
        </w:rPr>
        <w:t xml:space="preserve"> </w:t>
      </w:r>
      <w:r w:rsidR="00463326" w:rsidRPr="00FF6F6C">
        <w:rPr>
          <w:rFonts w:eastAsia="Times New Roman" w:cstheme="minorHAnsi"/>
          <w:color w:val="000000"/>
          <w:sz w:val="24"/>
          <w:szCs w:val="24"/>
          <w:lang w:eastAsia="en-GB"/>
        </w:rPr>
        <w:t>institutions offering ARB-recognised courses</w:t>
      </w:r>
      <w:r>
        <w:rPr>
          <w:rFonts w:eastAsia="Times New Roman" w:cstheme="minorHAnsi"/>
          <w:color w:val="000000"/>
          <w:sz w:val="24"/>
          <w:szCs w:val="24"/>
          <w:lang w:eastAsia="en-GB"/>
        </w:rPr>
        <w:t>;</w:t>
      </w:r>
    </w:p>
    <w:p w14:paraId="68B78C65" w14:textId="1E055E81" w:rsidR="00463326" w:rsidRPr="00FF6F6C" w:rsidRDefault="00206CA1"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Pr>
          <w:rFonts w:eastAsia="Times New Roman" w:cstheme="minorHAnsi"/>
          <w:color w:val="000000"/>
          <w:sz w:val="24"/>
          <w:szCs w:val="24"/>
          <w:lang w:eastAsia="en-GB"/>
        </w:rPr>
        <w:t>d</w:t>
      </w:r>
      <w:r w:rsidR="00463326" w:rsidRPr="00FF6F6C">
        <w:rPr>
          <w:rFonts w:eastAsia="Times New Roman" w:cstheme="minorHAnsi"/>
          <w:color w:val="000000"/>
          <w:sz w:val="24"/>
          <w:szCs w:val="24"/>
          <w:lang w:eastAsia="en-GB"/>
        </w:rPr>
        <w:t>irect emails and meetings with organisations such as the professional institutes across the UK</w:t>
      </w:r>
      <w:r>
        <w:rPr>
          <w:rFonts w:eastAsia="Times New Roman" w:cstheme="minorHAnsi"/>
          <w:color w:val="000000"/>
          <w:sz w:val="24"/>
          <w:szCs w:val="24"/>
          <w:lang w:eastAsia="en-GB"/>
        </w:rPr>
        <w:t>.</w:t>
      </w:r>
    </w:p>
    <w:p w14:paraId="1D09D1C0" w14:textId="385BBB43" w:rsidR="003D5D44" w:rsidRPr="00555FF0" w:rsidRDefault="00463326" w:rsidP="00555FF0">
      <w:pPr>
        <w:pStyle w:val="ListParagraph"/>
        <w:numPr>
          <w:ilvl w:val="1"/>
          <w:numId w:val="34"/>
        </w:numPr>
        <w:spacing w:after="120" w:line="276" w:lineRule="auto"/>
        <w:ind w:left="567" w:hanging="567"/>
        <w:jc w:val="both"/>
        <w:rPr>
          <w:rFonts w:eastAsia="Times New Roman" w:cstheme="minorHAnsi"/>
          <w:color w:val="000000"/>
          <w:sz w:val="24"/>
          <w:szCs w:val="24"/>
          <w:lang w:eastAsia="en-GB"/>
        </w:rPr>
      </w:pPr>
      <w:r w:rsidRPr="00555FF0">
        <w:rPr>
          <w:rFonts w:cstheme="minorHAnsi"/>
          <w:sz w:val="24"/>
          <w:szCs w:val="24"/>
        </w:rPr>
        <w:t>We also shared information with the architectural trade press</w:t>
      </w:r>
      <w:r w:rsidR="00295E3A" w:rsidRPr="00555FF0">
        <w:rPr>
          <w:rFonts w:cstheme="minorHAnsi"/>
          <w:sz w:val="24"/>
          <w:szCs w:val="24"/>
        </w:rPr>
        <w:t>.</w:t>
      </w:r>
      <w:r w:rsidR="003D5D44" w:rsidRPr="00555FF0">
        <w:rPr>
          <w:rFonts w:cstheme="minorHAnsi"/>
          <w:sz w:val="24"/>
          <w:szCs w:val="24"/>
        </w:rPr>
        <w:br w:type="page"/>
      </w:r>
    </w:p>
    <w:p w14:paraId="5257D376" w14:textId="385A6D04" w:rsidR="00F4355E" w:rsidRPr="00A4438A" w:rsidRDefault="00F4355E" w:rsidP="00CF2D5B">
      <w:pPr>
        <w:spacing w:after="120" w:line="276" w:lineRule="auto"/>
        <w:jc w:val="both"/>
        <w:rPr>
          <w:rFonts w:cstheme="minorHAnsi"/>
          <w:b/>
          <w:bCs/>
          <w:sz w:val="24"/>
          <w:szCs w:val="24"/>
          <w:u w:val="single"/>
        </w:rPr>
      </w:pPr>
      <w:r w:rsidRPr="00A4438A">
        <w:rPr>
          <w:rFonts w:cstheme="minorHAnsi"/>
          <w:b/>
          <w:bCs/>
          <w:sz w:val="24"/>
          <w:szCs w:val="24"/>
          <w:u w:val="single"/>
        </w:rPr>
        <w:lastRenderedPageBreak/>
        <w:t>Chapter Two: Who responded</w:t>
      </w:r>
    </w:p>
    <w:p w14:paraId="449ADAC2" w14:textId="30044C77" w:rsidR="00F4355E" w:rsidRPr="00A4438A" w:rsidRDefault="00F4355E" w:rsidP="00CF2D5B">
      <w:pPr>
        <w:spacing w:after="120" w:line="276" w:lineRule="auto"/>
        <w:jc w:val="both"/>
        <w:rPr>
          <w:rFonts w:cstheme="minorHAnsi"/>
          <w:sz w:val="24"/>
          <w:szCs w:val="24"/>
        </w:rPr>
      </w:pPr>
    </w:p>
    <w:p w14:paraId="1A3616FB" w14:textId="77777777" w:rsidR="00FF6F6C" w:rsidRPr="00FF6F6C" w:rsidRDefault="00FF6F6C" w:rsidP="00CF2D5B">
      <w:pPr>
        <w:pStyle w:val="ListParagraph"/>
        <w:numPr>
          <w:ilvl w:val="0"/>
          <w:numId w:val="34"/>
        </w:numPr>
        <w:spacing w:after="120" w:line="276" w:lineRule="auto"/>
        <w:jc w:val="both"/>
        <w:rPr>
          <w:rFonts w:cstheme="minorHAnsi"/>
          <w:vanish/>
          <w:sz w:val="24"/>
          <w:szCs w:val="24"/>
        </w:rPr>
      </w:pPr>
    </w:p>
    <w:p w14:paraId="3F631395" w14:textId="77777777" w:rsidR="00FF6F6C" w:rsidRDefault="00451846"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We received a total of </w:t>
      </w:r>
      <w:r w:rsidR="00F73DD7" w:rsidRPr="00A4438A">
        <w:rPr>
          <w:rFonts w:cstheme="minorHAnsi"/>
          <w:sz w:val="24"/>
          <w:szCs w:val="24"/>
        </w:rPr>
        <w:t xml:space="preserve">48 responses </w:t>
      </w:r>
      <w:r w:rsidRPr="00A4438A">
        <w:rPr>
          <w:rFonts w:cstheme="minorHAnsi"/>
          <w:sz w:val="24"/>
          <w:szCs w:val="24"/>
        </w:rPr>
        <w:t xml:space="preserve">to the consultation. These included </w:t>
      </w:r>
      <w:r w:rsidR="000E249A" w:rsidRPr="00A4438A">
        <w:rPr>
          <w:rFonts w:cstheme="minorHAnsi"/>
          <w:sz w:val="24"/>
          <w:szCs w:val="24"/>
        </w:rPr>
        <w:t>1</w:t>
      </w:r>
      <w:r w:rsidR="003D5D44" w:rsidRPr="00A4438A">
        <w:rPr>
          <w:rFonts w:cstheme="minorHAnsi"/>
          <w:sz w:val="24"/>
          <w:szCs w:val="24"/>
        </w:rPr>
        <w:t>5</w:t>
      </w:r>
      <w:r w:rsidR="000E249A" w:rsidRPr="00A4438A">
        <w:rPr>
          <w:rFonts w:cstheme="minorHAnsi"/>
          <w:sz w:val="24"/>
          <w:szCs w:val="24"/>
        </w:rPr>
        <w:t xml:space="preserve"> </w:t>
      </w:r>
      <w:r w:rsidRPr="00A4438A">
        <w:rPr>
          <w:rFonts w:cstheme="minorHAnsi"/>
          <w:sz w:val="24"/>
          <w:szCs w:val="24"/>
        </w:rPr>
        <w:t xml:space="preserve">responses on behalf of </w:t>
      </w:r>
      <w:r w:rsidR="000E249A" w:rsidRPr="00A4438A">
        <w:rPr>
          <w:rFonts w:cstheme="minorHAnsi"/>
          <w:sz w:val="24"/>
          <w:szCs w:val="24"/>
        </w:rPr>
        <w:t>organisations</w:t>
      </w:r>
      <w:r w:rsidRPr="00A4438A">
        <w:rPr>
          <w:rFonts w:cstheme="minorHAnsi"/>
          <w:sz w:val="24"/>
          <w:szCs w:val="24"/>
        </w:rPr>
        <w:t>,</w:t>
      </w:r>
      <w:r w:rsidR="000E249A" w:rsidRPr="00A4438A">
        <w:rPr>
          <w:rFonts w:cstheme="minorHAnsi"/>
          <w:sz w:val="24"/>
          <w:szCs w:val="24"/>
        </w:rPr>
        <w:t xml:space="preserve"> including </w:t>
      </w:r>
      <w:r w:rsidR="00F73DD7" w:rsidRPr="00A4438A">
        <w:rPr>
          <w:rFonts w:cstheme="minorHAnsi"/>
          <w:sz w:val="24"/>
          <w:szCs w:val="24"/>
        </w:rPr>
        <w:t>responses from climate action groups</w:t>
      </w:r>
      <w:r w:rsidRPr="00A4438A">
        <w:rPr>
          <w:rFonts w:cstheme="minorHAnsi"/>
          <w:sz w:val="24"/>
          <w:szCs w:val="24"/>
        </w:rPr>
        <w:t>.</w:t>
      </w:r>
    </w:p>
    <w:p w14:paraId="01CCEB22" w14:textId="17695809" w:rsidR="00CE05A2" w:rsidRPr="00FF6F6C" w:rsidRDefault="003D5D44"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Organisations that submitted a response include:</w:t>
      </w:r>
    </w:p>
    <w:p w14:paraId="541AF5D8" w14:textId="77777777"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Architects Declare UK</w:t>
      </w:r>
    </w:p>
    <w:p w14:paraId="29563856" w14:textId="77777777"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Architects Climate Action Network</w:t>
      </w:r>
    </w:p>
    <w:p w14:paraId="6BBBFF0D" w14:textId="77777777"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The Bartlett School of Architecture, UCL</w:t>
      </w:r>
    </w:p>
    <w:p w14:paraId="26347E53" w14:textId="6C6BE056"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Peabody</w:t>
      </w:r>
    </w:p>
    <w:p w14:paraId="49C5A15B" w14:textId="018A3A28"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Nottingham Trent University</w:t>
      </w:r>
    </w:p>
    <w:p w14:paraId="586959C1" w14:textId="2EE5CE33"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University of Westminster</w:t>
      </w:r>
    </w:p>
    <w:p w14:paraId="5CA535A0" w14:textId="412440D0"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UWE, Bristol</w:t>
      </w:r>
    </w:p>
    <w:p w14:paraId="7778210F" w14:textId="26D73914"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University of Plymouth (Architecture)</w:t>
      </w:r>
    </w:p>
    <w:p w14:paraId="5699280C" w14:textId="77777777"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SCHOSA</w:t>
      </w:r>
    </w:p>
    <w:p w14:paraId="4CA227E7" w14:textId="77777777"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proofErr w:type="spellStart"/>
      <w:r w:rsidRPr="00A4438A">
        <w:rPr>
          <w:rFonts w:eastAsia="Times New Roman" w:cstheme="minorHAnsi"/>
          <w:color w:val="000000"/>
          <w:sz w:val="24"/>
          <w:szCs w:val="24"/>
          <w:lang w:eastAsia="en-GB"/>
        </w:rPr>
        <w:t>SSoA</w:t>
      </w:r>
      <w:proofErr w:type="spellEnd"/>
      <w:r w:rsidRPr="00A4438A">
        <w:rPr>
          <w:rFonts w:eastAsia="Times New Roman" w:cstheme="minorHAnsi"/>
          <w:color w:val="000000"/>
          <w:sz w:val="24"/>
          <w:szCs w:val="24"/>
          <w:lang w:eastAsia="en-GB"/>
        </w:rPr>
        <w:t xml:space="preserve"> Students for Climate Action</w:t>
      </w:r>
    </w:p>
    <w:p w14:paraId="0538BB1B" w14:textId="29B57767"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Newcastle Students Climate Action Network</w:t>
      </w:r>
    </w:p>
    <w:p w14:paraId="6C6EA990" w14:textId="22DB7EAA" w:rsidR="003D6DD4" w:rsidRPr="00A4438A" w:rsidRDefault="003D6DD4" w:rsidP="00CF2D5B">
      <w:pPr>
        <w:pStyle w:val="ListParagraph"/>
        <w:numPr>
          <w:ilvl w:val="0"/>
          <w:numId w:val="23"/>
        </w:numPr>
        <w:spacing w:after="120" w:line="276" w:lineRule="auto"/>
        <w:ind w:left="927"/>
        <w:jc w:val="both"/>
        <w:rPr>
          <w:rFonts w:eastAsia="Times New Roman" w:cstheme="minorHAnsi"/>
          <w:color w:val="000000"/>
          <w:sz w:val="24"/>
          <w:szCs w:val="24"/>
          <w:lang w:eastAsia="en-GB"/>
        </w:rPr>
      </w:pPr>
      <w:proofErr w:type="spellStart"/>
      <w:r w:rsidRPr="00A4438A">
        <w:rPr>
          <w:rFonts w:eastAsia="Times New Roman" w:cstheme="minorHAnsi"/>
          <w:color w:val="000000"/>
          <w:sz w:val="24"/>
          <w:szCs w:val="24"/>
          <w:lang w:eastAsia="en-GB"/>
        </w:rPr>
        <w:t>WestCAN</w:t>
      </w:r>
      <w:proofErr w:type="spellEnd"/>
    </w:p>
    <w:p w14:paraId="599716F9" w14:textId="126FF10A" w:rsidR="003D5D44" w:rsidRPr="00A4438A" w:rsidRDefault="003D5D44" w:rsidP="00CF2D5B">
      <w:pPr>
        <w:pStyle w:val="ListParagraph"/>
        <w:numPr>
          <w:ilvl w:val="0"/>
          <w:numId w:val="21"/>
        </w:numPr>
        <w:spacing w:after="120" w:line="276" w:lineRule="auto"/>
        <w:ind w:left="927"/>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Three institutions that did not consent to be published / named</w:t>
      </w:r>
      <w:r w:rsidR="00206CA1">
        <w:rPr>
          <w:rFonts w:eastAsia="Times New Roman" w:cstheme="minorHAnsi"/>
          <w:color w:val="000000"/>
          <w:sz w:val="24"/>
          <w:szCs w:val="24"/>
          <w:lang w:eastAsia="en-GB"/>
        </w:rPr>
        <w:t>.</w:t>
      </w:r>
    </w:p>
    <w:p w14:paraId="5D0FB9CE" w14:textId="675E8649" w:rsidR="00CE05A2" w:rsidRPr="00A4438A" w:rsidRDefault="003D5D44"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We also received individual responses</w:t>
      </w:r>
      <w:r w:rsidR="00451846" w:rsidRPr="00A4438A">
        <w:rPr>
          <w:rFonts w:cstheme="minorHAnsi"/>
          <w:sz w:val="24"/>
          <w:szCs w:val="24"/>
        </w:rPr>
        <w:t xml:space="preserve">. We asked respondents to self-categorise in one of </w:t>
      </w:r>
      <w:r w:rsidR="00DB0328" w:rsidRPr="00A4438A">
        <w:rPr>
          <w:rFonts w:cstheme="minorHAnsi"/>
          <w:sz w:val="24"/>
          <w:szCs w:val="24"/>
        </w:rPr>
        <w:t xml:space="preserve">ten </w:t>
      </w:r>
      <w:r w:rsidR="00451846" w:rsidRPr="00A4438A">
        <w:rPr>
          <w:rFonts w:cstheme="minorHAnsi"/>
          <w:sz w:val="24"/>
          <w:szCs w:val="24"/>
        </w:rPr>
        <w:t>categories</w:t>
      </w:r>
      <w:r w:rsidR="00DB0328" w:rsidRPr="00A4438A">
        <w:rPr>
          <w:rFonts w:cstheme="minorHAnsi"/>
          <w:sz w:val="24"/>
          <w:szCs w:val="24"/>
        </w:rPr>
        <w:t>. After removing those respondents representing an organisation, we also received responses</w:t>
      </w:r>
      <w:r w:rsidRPr="00A4438A">
        <w:rPr>
          <w:rFonts w:cstheme="minorHAnsi"/>
          <w:sz w:val="24"/>
          <w:szCs w:val="24"/>
        </w:rPr>
        <w:t xml:space="preserve"> from:</w:t>
      </w:r>
    </w:p>
    <w:p w14:paraId="747AC2E7" w14:textId="00A2E866" w:rsidR="00DB0328" w:rsidRPr="00A4438A" w:rsidRDefault="00DB0328" w:rsidP="00CF2D5B">
      <w:pPr>
        <w:pStyle w:val="ListParagraph"/>
        <w:numPr>
          <w:ilvl w:val="0"/>
          <w:numId w:val="18"/>
        </w:numPr>
        <w:spacing w:after="120" w:line="276"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14 Registered Architects</w:t>
      </w:r>
    </w:p>
    <w:p w14:paraId="04BA4057" w14:textId="2821BA7F" w:rsidR="0088016A" w:rsidRPr="00A4438A" w:rsidRDefault="0088016A" w:rsidP="00CF2D5B">
      <w:pPr>
        <w:pStyle w:val="ListParagraph"/>
        <w:numPr>
          <w:ilvl w:val="0"/>
          <w:numId w:val="18"/>
        </w:numPr>
        <w:spacing w:after="120" w:line="276"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 xml:space="preserve">12 </w:t>
      </w:r>
      <w:r w:rsidRPr="00A4438A">
        <w:rPr>
          <w:rFonts w:eastAsia="Times New Roman" w:cstheme="minorHAnsi"/>
          <w:color w:val="333333"/>
          <w:sz w:val="24"/>
          <w:szCs w:val="24"/>
          <w:lang w:eastAsia="en-GB"/>
        </w:rPr>
        <w:t>Academic (registered architect)</w:t>
      </w:r>
    </w:p>
    <w:p w14:paraId="1C34C952" w14:textId="20A45C2E" w:rsidR="00DE3446" w:rsidRPr="00A4438A" w:rsidRDefault="00DE3446" w:rsidP="00CF2D5B">
      <w:pPr>
        <w:pStyle w:val="ListParagraph"/>
        <w:numPr>
          <w:ilvl w:val="0"/>
          <w:numId w:val="18"/>
        </w:numPr>
        <w:spacing w:after="120" w:line="276"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 xml:space="preserve">Two </w:t>
      </w:r>
      <w:r w:rsidR="0088016A" w:rsidRPr="00A4438A">
        <w:rPr>
          <w:rFonts w:eastAsia="Times New Roman" w:cstheme="minorHAnsi"/>
          <w:color w:val="333333"/>
          <w:sz w:val="24"/>
          <w:szCs w:val="24"/>
          <w:lang w:eastAsia="en-GB"/>
        </w:rPr>
        <w:t>Academic</w:t>
      </w:r>
      <w:r w:rsidR="00555FF0">
        <w:rPr>
          <w:rFonts w:eastAsia="Times New Roman" w:cstheme="minorHAnsi"/>
          <w:color w:val="333333"/>
          <w:sz w:val="24"/>
          <w:szCs w:val="24"/>
          <w:lang w:eastAsia="en-GB"/>
        </w:rPr>
        <w:t>s</w:t>
      </w:r>
      <w:r w:rsidR="0088016A" w:rsidRPr="00A4438A">
        <w:rPr>
          <w:rFonts w:eastAsia="Times New Roman" w:cstheme="minorHAnsi"/>
          <w:color w:val="333333"/>
          <w:sz w:val="24"/>
          <w:szCs w:val="24"/>
          <w:lang w:eastAsia="en-GB"/>
        </w:rPr>
        <w:t xml:space="preserve"> (other)</w:t>
      </w:r>
    </w:p>
    <w:p w14:paraId="3D6A5E0F" w14:textId="78FC3D1D" w:rsidR="00DE3446" w:rsidRPr="00A4438A" w:rsidRDefault="00DE3446" w:rsidP="00CF2D5B">
      <w:pPr>
        <w:pStyle w:val="ListParagraph"/>
        <w:numPr>
          <w:ilvl w:val="0"/>
          <w:numId w:val="18"/>
        </w:numPr>
        <w:spacing w:after="120" w:line="276"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Two Architectural assistant</w:t>
      </w:r>
      <w:r w:rsidR="00555FF0">
        <w:rPr>
          <w:rFonts w:eastAsia="Times New Roman" w:cstheme="minorHAnsi"/>
          <w:color w:val="000000"/>
          <w:sz w:val="24"/>
          <w:szCs w:val="24"/>
          <w:lang w:eastAsia="en-GB"/>
        </w:rPr>
        <w:t>s</w:t>
      </w:r>
      <w:r w:rsidRPr="00A4438A">
        <w:rPr>
          <w:rFonts w:eastAsia="Times New Roman" w:cstheme="minorHAnsi"/>
          <w:color w:val="000000"/>
          <w:sz w:val="24"/>
          <w:szCs w:val="24"/>
          <w:lang w:eastAsia="en-GB"/>
        </w:rPr>
        <w:t>, designer</w:t>
      </w:r>
      <w:r w:rsidR="00555FF0">
        <w:rPr>
          <w:rFonts w:eastAsia="Times New Roman" w:cstheme="minorHAnsi"/>
          <w:color w:val="000000"/>
          <w:sz w:val="24"/>
          <w:szCs w:val="24"/>
          <w:lang w:eastAsia="en-GB"/>
        </w:rPr>
        <w:t>s</w:t>
      </w:r>
      <w:r w:rsidRPr="00A4438A">
        <w:rPr>
          <w:rFonts w:eastAsia="Times New Roman" w:cstheme="minorHAnsi"/>
          <w:color w:val="000000"/>
          <w:sz w:val="24"/>
          <w:szCs w:val="24"/>
          <w:lang w:eastAsia="en-GB"/>
        </w:rPr>
        <w:t xml:space="preserve"> or consultants (not Part 3 qualified)</w:t>
      </w:r>
    </w:p>
    <w:p w14:paraId="55A17EEB" w14:textId="70842B6F" w:rsidR="003D6DD4" w:rsidRPr="00A4438A" w:rsidRDefault="003D6DD4" w:rsidP="00CF2D5B">
      <w:pPr>
        <w:pStyle w:val="ListParagraph"/>
        <w:numPr>
          <w:ilvl w:val="0"/>
          <w:numId w:val="18"/>
        </w:numPr>
        <w:spacing w:after="120" w:line="276"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 xml:space="preserve">One Architecture Student – undergraduate (studying Part 1),  </w:t>
      </w:r>
    </w:p>
    <w:p w14:paraId="198338D6" w14:textId="2BAD08EA" w:rsidR="003D6DD4" w:rsidRPr="00A4438A" w:rsidRDefault="003D6DD4" w:rsidP="00CF2D5B">
      <w:pPr>
        <w:pStyle w:val="ListParagraph"/>
        <w:numPr>
          <w:ilvl w:val="0"/>
          <w:numId w:val="18"/>
        </w:numPr>
        <w:spacing w:after="120" w:line="276"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 xml:space="preserve">Two </w:t>
      </w:r>
      <w:r w:rsidR="00DB0328" w:rsidRPr="00A4438A">
        <w:rPr>
          <w:rFonts w:eastAsia="Times New Roman" w:cstheme="minorHAnsi"/>
          <w:color w:val="000000"/>
          <w:sz w:val="24"/>
          <w:szCs w:val="24"/>
          <w:lang w:eastAsia="en-GB"/>
        </w:rPr>
        <w:t xml:space="preserve">other </w:t>
      </w:r>
      <w:r w:rsidRPr="00A4438A">
        <w:rPr>
          <w:rFonts w:eastAsia="Times New Roman" w:cstheme="minorHAnsi"/>
          <w:color w:val="000000"/>
          <w:sz w:val="24"/>
          <w:szCs w:val="24"/>
          <w:lang w:eastAsia="en-GB"/>
        </w:rPr>
        <w:t>built environment professionals</w:t>
      </w:r>
    </w:p>
    <w:p w14:paraId="320946FA" w14:textId="77777777" w:rsidR="00FF6F6C" w:rsidRDefault="006A5B90"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In the consultation survey we asked respondents whether they would consent to have their response published, either with their name and/or organisation identified. </w:t>
      </w:r>
      <w:r w:rsidRPr="00FF6F6C">
        <w:rPr>
          <w:rFonts w:cstheme="minorHAnsi"/>
          <w:b/>
          <w:bCs/>
          <w:sz w:val="24"/>
          <w:szCs w:val="24"/>
        </w:rPr>
        <w:t xml:space="preserve">Annex A </w:t>
      </w:r>
      <w:r w:rsidRPr="00A4438A">
        <w:rPr>
          <w:rFonts w:cstheme="minorHAnsi"/>
          <w:sz w:val="24"/>
          <w:szCs w:val="24"/>
        </w:rPr>
        <w:t xml:space="preserve">lists every individual and organisation that consented. </w:t>
      </w:r>
      <w:r w:rsidR="002909D2" w:rsidRPr="00A4438A">
        <w:rPr>
          <w:rFonts w:cstheme="minorHAnsi"/>
          <w:sz w:val="24"/>
          <w:szCs w:val="24"/>
        </w:rPr>
        <w:t>All quotes in Chapter Three are from those who consented to be published.</w:t>
      </w:r>
    </w:p>
    <w:p w14:paraId="030D5493" w14:textId="77777777" w:rsidR="00FF6F6C" w:rsidRDefault="0088016A" w:rsidP="00CF2D5B">
      <w:pPr>
        <w:pStyle w:val="ListParagraph"/>
        <w:numPr>
          <w:ilvl w:val="1"/>
          <w:numId w:val="34"/>
        </w:numPr>
        <w:spacing w:after="120" w:line="276" w:lineRule="auto"/>
        <w:ind w:left="567" w:hanging="567"/>
        <w:jc w:val="both"/>
        <w:rPr>
          <w:rFonts w:cstheme="minorHAnsi"/>
          <w:sz w:val="24"/>
          <w:szCs w:val="24"/>
        </w:rPr>
      </w:pPr>
      <w:proofErr w:type="gramStart"/>
      <w:r w:rsidRPr="00FF6F6C">
        <w:rPr>
          <w:rFonts w:cstheme="minorHAnsi"/>
          <w:sz w:val="24"/>
          <w:szCs w:val="24"/>
        </w:rPr>
        <w:t>The majority of</w:t>
      </w:r>
      <w:proofErr w:type="gramEnd"/>
      <w:r w:rsidRPr="00FF6F6C">
        <w:rPr>
          <w:rFonts w:cstheme="minorHAnsi"/>
          <w:sz w:val="24"/>
          <w:szCs w:val="24"/>
        </w:rPr>
        <w:t xml:space="preserve"> respondents were architects; 73% were registered architects, including those who are also academics. Of the architects responding, 70% qualified over 20 years ago and 36% of respondents said they were either </w:t>
      </w:r>
      <w:proofErr w:type="spellStart"/>
      <w:r w:rsidRPr="00FF6F6C">
        <w:rPr>
          <w:rFonts w:cstheme="minorHAnsi"/>
          <w:sz w:val="24"/>
          <w:szCs w:val="24"/>
        </w:rPr>
        <w:t>self employed</w:t>
      </w:r>
      <w:proofErr w:type="spellEnd"/>
      <w:r w:rsidRPr="00FF6F6C">
        <w:rPr>
          <w:rFonts w:cstheme="minorHAnsi"/>
          <w:sz w:val="24"/>
          <w:szCs w:val="24"/>
        </w:rPr>
        <w:t xml:space="preserve"> or worked for a small practice.</w:t>
      </w:r>
    </w:p>
    <w:p w14:paraId="396C2BB9" w14:textId="6343B44F" w:rsidR="0088016A" w:rsidRPr="00175E5F" w:rsidRDefault="006A5B90" w:rsidP="00175E5F">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lastRenderedPageBreak/>
        <w:t>Figure 2.1 below shows how the respondents categorised themselves. The rest of the analysis in this report will refer to the category of respondent regardless of whether their response represented an organisation.</w:t>
      </w:r>
      <w:r w:rsidRPr="00A4438A">
        <w:rPr>
          <w:rStyle w:val="FootnoteReference"/>
          <w:rFonts w:cstheme="minorHAnsi"/>
          <w:sz w:val="24"/>
          <w:szCs w:val="24"/>
        </w:rPr>
        <w:footnoteReference w:id="1"/>
      </w:r>
      <w:r w:rsidRPr="00FF6F6C">
        <w:rPr>
          <w:rFonts w:cstheme="minorHAnsi"/>
          <w:sz w:val="24"/>
          <w:szCs w:val="24"/>
        </w:rPr>
        <w:t xml:space="preserve"> </w:t>
      </w:r>
    </w:p>
    <w:p w14:paraId="47226E2F" w14:textId="0EE9CF3A" w:rsidR="009B20C0" w:rsidRPr="00A4438A" w:rsidRDefault="009B20C0" w:rsidP="00CF2D5B">
      <w:pPr>
        <w:spacing w:after="0" w:line="240" w:lineRule="auto"/>
        <w:jc w:val="both"/>
        <w:rPr>
          <w:rFonts w:cstheme="minorHAnsi"/>
          <w:sz w:val="24"/>
          <w:szCs w:val="24"/>
        </w:rPr>
      </w:pPr>
    </w:p>
    <w:p w14:paraId="3ABFA8DB" w14:textId="208F9865" w:rsidR="009B20C0" w:rsidRPr="00555FF0" w:rsidRDefault="009B20C0" w:rsidP="00555FF0">
      <w:pPr>
        <w:spacing w:after="0" w:line="276" w:lineRule="auto"/>
        <w:jc w:val="both"/>
        <w:rPr>
          <w:rFonts w:cstheme="minorHAnsi"/>
          <w:i/>
          <w:iCs/>
          <w:sz w:val="24"/>
          <w:szCs w:val="24"/>
        </w:rPr>
      </w:pPr>
      <w:r w:rsidRPr="00555FF0">
        <w:rPr>
          <w:rFonts w:cstheme="minorHAnsi"/>
          <w:i/>
          <w:iCs/>
          <w:noProof/>
          <w:sz w:val="24"/>
          <w:szCs w:val="24"/>
        </w:rPr>
        <w:drawing>
          <wp:anchor distT="0" distB="0" distL="114300" distR="114300" simplePos="0" relativeHeight="251661312" behindDoc="0" locked="0" layoutInCell="1" allowOverlap="1" wp14:anchorId="3893B900" wp14:editId="2668562C">
            <wp:simplePos x="0" y="0"/>
            <wp:positionH relativeFrom="column">
              <wp:posOffset>0</wp:posOffset>
            </wp:positionH>
            <wp:positionV relativeFrom="paragraph">
              <wp:posOffset>19050</wp:posOffset>
            </wp:positionV>
            <wp:extent cx="5587365" cy="3352165"/>
            <wp:effectExtent l="19050" t="19050" r="13335" b="19685"/>
            <wp:wrapTopAndBottom/>
            <wp:docPr id="18" name="Picture 17">
              <a:extLst xmlns:a="http://schemas.openxmlformats.org/drawingml/2006/main">
                <a:ext uri="{FF2B5EF4-FFF2-40B4-BE49-F238E27FC236}">
                  <a16:creationId xmlns:a16="http://schemas.microsoft.com/office/drawing/2014/main" id="{81D4EC42-74E9-41D3-B51B-C0B06C7527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81D4EC42-74E9-41D3-B51B-C0B06C7527CE}"/>
                        </a:ext>
                      </a:extLst>
                    </pic:cNvPr>
                    <pic:cNvPicPr>
                      <a:picLocks noChangeAspect="1"/>
                    </pic:cNvPicPr>
                  </pic:nvPicPr>
                  <pic:blipFill rotWithShape="1">
                    <a:blip r:embed="rId9">
                      <a:extLst>
                        <a:ext uri="{28A0092B-C50C-407E-A947-70E740481C1C}">
                          <a14:useLocalDpi xmlns:a14="http://schemas.microsoft.com/office/drawing/2010/main" val="0"/>
                        </a:ext>
                      </a:extLst>
                    </a:blip>
                    <a:srcRect l="12674" t="3855" r="9450" b="2569"/>
                    <a:stretch/>
                  </pic:blipFill>
                  <pic:spPr>
                    <a:xfrm>
                      <a:off x="0" y="0"/>
                      <a:ext cx="5587365" cy="3352165"/>
                    </a:xfrm>
                    <a:prstGeom prst="rect">
                      <a:avLst/>
                    </a:prstGeom>
                    <a:ln w="9525">
                      <a:solidFill>
                        <a:schemeClr val="tx1"/>
                      </a:solidFill>
                    </a:ln>
                  </pic:spPr>
                </pic:pic>
              </a:graphicData>
            </a:graphic>
          </wp:anchor>
        </w:drawing>
      </w:r>
      <w:r w:rsidRPr="00555FF0">
        <w:rPr>
          <w:rFonts w:cstheme="minorHAnsi"/>
          <w:i/>
          <w:iCs/>
          <w:sz w:val="24"/>
          <w:szCs w:val="24"/>
        </w:rPr>
        <w:t>Figure 2.1</w:t>
      </w:r>
      <w:r w:rsidR="00555FF0" w:rsidRPr="00555FF0">
        <w:rPr>
          <w:rFonts w:cstheme="minorHAnsi"/>
          <w:i/>
          <w:iCs/>
          <w:sz w:val="24"/>
          <w:szCs w:val="24"/>
        </w:rPr>
        <w:t>: how respondents categorised themselves</w:t>
      </w:r>
    </w:p>
    <w:p w14:paraId="2FB726FE" w14:textId="780D3082" w:rsidR="009B20C0" w:rsidRPr="00A4438A" w:rsidRDefault="009B20C0" w:rsidP="00CF2D5B">
      <w:pPr>
        <w:spacing w:after="0" w:line="240" w:lineRule="auto"/>
        <w:jc w:val="both"/>
        <w:rPr>
          <w:rFonts w:cstheme="minorHAnsi"/>
          <w:sz w:val="24"/>
          <w:szCs w:val="24"/>
        </w:rPr>
      </w:pPr>
    </w:p>
    <w:p w14:paraId="038568F3" w14:textId="797EF8D2" w:rsidR="00D86EB0" w:rsidRPr="00A4438A" w:rsidRDefault="0088016A"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We also asked respondents to complete some additional questions to help us collect some demographic data. </w:t>
      </w:r>
    </w:p>
    <w:p w14:paraId="74911B95" w14:textId="75231BC8" w:rsidR="003D5D44" w:rsidRPr="00A4438A" w:rsidRDefault="0088016A" w:rsidP="00CF2D5B">
      <w:pPr>
        <w:pStyle w:val="ListParagraph"/>
        <w:numPr>
          <w:ilvl w:val="1"/>
          <w:numId w:val="34"/>
        </w:numPr>
        <w:spacing w:after="120" w:line="276" w:lineRule="auto"/>
        <w:ind w:left="567" w:hanging="567"/>
        <w:jc w:val="both"/>
        <w:rPr>
          <w:rFonts w:cstheme="minorHAnsi"/>
          <w:sz w:val="24"/>
          <w:szCs w:val="24"/>
        </w:rPr>
      </w:pPr>
      <w:proofErr w:type="gramStart"/>
      <w:r w:rsidRPr="00A4438A">
        <w:rPr>
          <w:rFonts w:cstheme="minorHAnsi"/>
          <w:sz w:val="24"/>
          <w:szCs w:val="24"/>
        </w:rPr>
        <w:t>The majority of</w:t>
      </w:r>
      <w:proofErr w:type="gramEnd"/>
      <w:r w:rsidRPr="00A4438A">
        <w:rPr>
          <w:rFonts w:cstheme="minorHAnsi"/>
          <w:sz w:val="24"/>
          <w:szCs w:val="24"/>
        </w:rPr>
        <w:t xml:space="preserve"> respondents (54%) were male, and just under a third were female. The remaining respondents chose not to identify their gender. The same proportion (6 respondents, </w:t>
      </w:r>
      <w:r w:rsidR="003D5D44" w:rsidRPr="00A4438A">
        <w:rPr>
          <w:rFonts w:cstheme="minorHAnsi"/>
          <w:sz w:val="24"/>
          <w:szCs w:val="24"/>
        </w:rPr>
        <w:t>13%</w:t>
      </w:r>
      <w:r w:rsidRPr="00A4438A">
        <w:rPr>
          <w:rFonts w:cstheme="minorHAnsi"/>
          <w:sz w:val="24"/>
          <w:szCs w:val="24"/>
        </w:rPr>
        <w:t>)</w:t>
      </w:r>
      <w:r w:rsidR="003D5D44" w:rsidRPr="00A4438A">
        <w:rPr>
          <w:rFonts w:cstheme="minorHAnsi"/>
          <w:sz w:val="24"/>
          <w:szCs w:val="24"/>
        </w:rPr>
        <w:t xml:space="preserve"> chose not to state their ethnic group</w:t>
      </w:r>
      <w:r w:rsidRPr="00A4438A">
        <w:rPr>
          <w:rFonts w:cstheme="minorHAnsi"/>
          <w:sz w:val="24"/>
          <w:szCs w:val="24"/>
        </w:rPr>
        <w:t xml:space="preserve">. Of those who did state their ethic group, the majority (almost 80%) were </w:t>
      </w:r>
      <w:r w:rsidR="00050B51" w:rsidRPr="00A4438A">
        <w:rPr>
          <w:rFonts w:cstheme="minorHAnsi"/>
          <w:sz w:val="24"/>
          <w:szCs w:val="24"/>
        </w:rPr>
        <w:t>W</w:t>
      </w:r>
      <w:r w:rsidRPr="00A4438A">
        <w:rPr>
          <w:rFonts w:cstheme="minorHAnsi"/>
          <w:sz w:val="24"/>
          <w:szCs w:val="24"/>
        </w:rPr>
        <w:t xml:space="preserve">hite. Whilst we received responses from across all nations and regions of the UK, the most common place of residence was </w:t>
      </w:r>
      <w:r w:rsidR="003D5D44" w:rsidRPr="00A4438A">
        <w:rPr>
          <w:rFonts w:cstheme="minorHAnsi"/>
          <w:sz w:val="24"/>
          <w:szCs w:val="24"/>
        </w:rPr>
        <w:t xml:space="preserve">London or the </w:t>
      </w:r>
      <w:proofErr w:type="gramStart"/>
      <w:r w:rsidR="003D5D44" w:rsidRPr="00A4438A">
        <w:rPr>
          <w:rFonts w:cstheme="minorHAnsi"/>
          <w:sz w:val="24"/>
          <w:szCs w:val="24"/>
        </w:rPr>
        <w:t>South East</w:t>
      </w:r>
      <w:proofErr w:type="gramEnd"/>
      <w:r w:rsidRPr="00A4438A">
        <w:rPr>
          <w:rFonts w:cstheme="minorHAnsi"/>
          <w:sz w:val="24"/>
          <w:szCs w:val="24"/>
        </w:rPr>
        <w:t xml:space="preserve"> (45%).</w:t>
      </w:r>
    </w:p>
    <w:p w14:paraId="5AC2287F" w14:textId="65986EEB" w:rsidR="0088016A" w:rsidRPr="00A4438A" w:rsidRDefault="0088016A"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Figure 2.2 shows how the respondents identified their gender, and Figure 2.3 shows how the ethnic group to which they said they belonged. Figure 2.4 shows where the respondents said they were based.</w:t>
      </w:r>
    </w:p>
    <w:p w14:paraId="31BE4561" w14:textId="3017DAF7" w:rsidR="009B20C0" w:rsidRPr="00A4438A" w:rsidRDefault="009B20C0" w:rsidP="00CF2D5B">
      <w:pPr>
        <w:tabs>
          <w:tab w:val="num" w:pos="720"/>
        </w:tabs>
        <w:spacing w:after="0" w:line="240" w:lineRule="auto"/>
        <w:jc w:val="both"/>
        <w:rPr>
          <w:rFonts w:cstheme="minorHAnsi"/>
          <w:sz w:val="24"/>
          <w:szCs w:val="24"/>
        </w:rPr>
      </w:pPr>
    </w:p>
    <w:p w14:paraId="4FDD0CF8" w14:textId="77777777" w:rsidR="009B20C0" w:rsidRPr="00A4438A" w:rsidRDefault="009B20C0" w:rsidP="00CF2D5B">
      <w:pPr>
        <w:spacing w:after="0" w:line="240" w:lineRule="auto"/>
        <w:jc w:val="both"/>
        <w:rPr>
          <w:rFonts w:cstheme="minorHAnsi"/>
          <w:sz w:val="24"/>
          <w:szCs w:val="24"/>
        </w:rPr>
      </w:pPr>
    </w:p>
    <w:p w14:paraId="2DFA0705" w14:textId="77777777" w:rsidR="00555FF0" w:rsidRDefault="00555FF0" w:rsidP="00555FF0">
      <w:pPr>
        <w:spacing w:after="0" w:line="276" w:lineRule="auto"/>
        <w:jc w:val="both"/>
        <w:rPr>
          <w:rFonts w:cstheme="minorHAnsi"/>
          <w:i/>
          <w:iCs/>
          <w:sz w:val="24"/>
          <w:szCs w:val="24"/>
        </w:rPr>
      </w:pPr>
    </w:p>
    <w:p w14:paraId="59DA5A25" w14:textId="77777777" w:rsidR="00555FF0" w:rsidRDefault="00555FF0" w:rsidP="00555FF0">
      <w:pPr>
        <w:spacing w:after="0" w:line="276" w:lineRule="auto"/>
        <w:jc w:val="both"/>
        <w:rPr>
          <w:rFonts w:cstheme="minorHAnsi"/>
          <w:i/>
          <w:iCs/>
          <w:sz w:val="24"/>
          <w:szCs w:val="24"/>
        </w:rPr>
      </w:pPr>
    </w:p>
    <w:p w14:paraId="58D39D4A" w14:textId="6BEC0DCD" w:rsidR="009B20C0" w:rsidRPr="00555FF0" w:rsidRDefault="009B20C0" w:rsidP="00555FF0">
      <w:pPr>
        <w:spacing w:after="0" w:line="276" w:lineRule="auto"/>
        <w:jc w:val="both"/>
        <w:rPr>
          <w:rFonts w:cstheme="minorHAnsi"/>
          <w:i/>
          <w:iCs/>
          <w:sz w:val="24"/>
          <w:szCs w:val="24"/>
        </w:rPr>
      </w:pPr>
      <w:r w:rsidRPr="00555FF0">
        <w:rPr>
          <w:rFonts w:cstheme="minorHAnsi"/>
          <w:i/>
          <w:iCs/>
          <w:noProof/>
          <w:sz w:val="24"/>
          <w:szCs w:val="24"/>
        </w:rPr>
        <w:lastRenderedPageBreak/>
        <w:drawing>
          <wp:anchor distT="0" distB="0" distL="114300" distR="114300" simplePos="0" relativeHeight="251662336" behindDoc="0" locked="0" layoutInCell="1" allowOverlap="1" wp14:anchorId="157CF8C5" wp14:editId="2CDC49CB">
            <wp:simplePos x="0" y="0"/>
            <wp:positionH relativeFrom="column">
              <wp:posOffset>19050</wp:posOffset>
            </wp:positionH>
            <wp:positionV relativeFrom="paragraph">
              <wp:posOffset>20638</wp:posOffset>
            </wp:positionV>
            <wp:extent cx="4385040" cy="3284481"/>
            <wp:effectExtent l="19050" t="19050" r="15875" b="11430"/>
            <wp:wrapTopAndBottom/>
            <wp:docPr id="3" name="Picture 2">
              <a:extLst xmlns:a="http://schemas.openxmlformats.org/drawingml/2006/main">
                <a:ext uri="{FF2B5EF4-FFF2-40B4-BE49-F238E27FC236}">
                  <a16:creationId xmlns:a16="http://schemas.microsoft.com/office/drawing/2014/main" id="{ABF74F88-5D87-47D1-A077-CD4E33DC0B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BF74F88-5D87-47D1-A077-CD4E33DC0B92}"/>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385040" cy="328448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D86EB0" w:rsidRPr="00555FF0">
        <w:rPr>
          <w:rFonts w:cstheme="minorHAnsi"/>
          <w:i/>
          <w:iCs/>
          <w:sz w:val="24"/>
          <w:szCs w:val="24"/>
        </w:rPr>
        <w:t>Figure 2.2</w:t>
      </w:r>
      <w:r w:rsidR="00555FF0">
        <w:rPr>
          <w:rFonts w:cstheme="minorHAnsi"/>
          <w:i/>
          <w:iCs/>
          <w:sz w:val="24"/>
          <w:szCs w:val="24"/>
        </w:rPr>
        <w:t>: how respondents identified their gender</w:t>
      </w:r>
    </w:p>
    <w:p w14:paraId="43C66861" w14:textId="27A844D6" w:rsidR="009B20C0" w:rsidRPr="00A4438A" w:rsidRDefault="009B20C0" w:rsidP="00CF2D5B">
      <w:pPr>
        <w:spacing w:after="0" w:line="240" w:lineRule="auto"/>
        <w:jc w:val="both"/>
        <w:rPr>
          <w:rFonts w:cstheme="minorHAnsi"/>
          <w:sz w:val="24"/>
          <w:szCs w:val="24"/>
        </w:rPr>
      </w:pPr>
    </w:p>
    <w:p w14:paraId="7D658E7E" w14:textId="3C18864A" w:rsidR="009B20C0" w:rsidRPr="00A4438A" w:rsidRDefault="009B20C0" w:rsidP="00CF2D5B">
      <w:pPr>
        <w:spacing w:after="0" w:line="240" w:lineRule="auto"/>
        <w:jc w:val="both"/>
        <w:rPr>
          <w:rFonts w:cstheme="minorHAnsi"/>
          <w:sz w:val="24"/>
          <w:szCs w:val="24"/>
        </w:rPr>
      </w:pPr>
    </w:p>
    <w:p w14:paraId="13E48AF2" w14:textId="77777777" w:rsidR="009B20C0" w:rsidRPr="00A4438A" w:rsidRDefault="009B20C0" w:rsidP="00CF2D5B">
      <w:pPr>
        <w:spacing w:after="0" w:line="240" w:lineRule="auto"/>
        <w:jc w:val="both"/>
        <w:rPr>
          <w:rFonts w:cstheme="minorHAnsi"/>
          <w:sz w:val="24"/>
          <w:szCs w:val="24"/>
        </w:rPr>
      </w:pPr>
    </w:p>
    <w:p w14:paraId="48D6B8DB" w14:textId="44F5EF47" w:rsidR="00555FF0" w:rsidRDefault="00206CA1" w:rsidP="00555FF0">
      <w:pPr>
        <w:spacing w:after="0" w:line="276" w:lineRule="auto"/>
        <w:jc w:val="both"/>
        <w:rPr>
          <w:rFonts w:cstheme="minorHAnsi"/>
          <w:i/>
          <w:iCs/>
          <w:sz w:val="24"/>
          <w:szCs w:val="24"/>
        </w:rPr>
      </w:pPr>
      <w:r w:rsidRPr="00A4438A">
        <w:rPr>
          <w:rFonts w:cstheme="minorHAnsi"/>
          <w:noProof/>
          <w:sz w:val="24"/>
          <w:szCs w:val="24"/>
        </w:rPr>
        <w:drawing>
          <wp:anchor distT="0" distB="0" distL="114300" distR="114300" simplePos="0" relativeHeight="251659264" behindDoc="0" locked="0" layoutInCell="1" allowOverlap="1" wp14:anchorId="5FFF5439" wp14:editId="29E960AB">
            <wp:simplePos x="0" y="0"/>
            <wp:positionH relativeFrom="margin">
              <wp:align>left</wp:align>
            </wp:positionH>
            <wp:positionV relativeFrom="paragraph">
              <wp:posOffset>408305</wp:posOffset>
            </wp:positionV>
            <wp:extent cx="5221358" cy="3358196"/>
            <wp:effectExtent l="19050" t="19050" r="17780" b="13970"/>
            <wp:wrapTopAndBottom/>
            <wp:docPr id="22" name="Picture 21">
              <a:extLst xmlns:a="http://schemas.openxmlformats.org/drawingml/2006/main">
                <a:ext uri="{FF2B5EF4-FFF2-40B4-BE49-F238E27FC236}">
                  <a16:creationId xmlns:a16="http://schemas.microsoft.com/office/drawing/2014/main" id="{BD2FE153-6A53-49B7-964B-DF635CFD93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BD2FE153-6A53-49B7-964B-DF635CFD9318}"/>
                        </a:ext>
                      </a:extLst>
                    </pic:cNvPr>
                    <pic:cNvPicPr>
                      <a:picLocks noChangeAspect="1"/>
                    </pic:cNvPicPr>
                  </pic:nvPicPr>
                  <pic:blipFill>
                    <a:blip r:embed="rId11"/>
                    <a:stretch>
                      <a:fillRect/>
                    </a:stretch>
                  </pic:blipFill>
                  <pic:spPr>
                    <a:xfrm>
                      <a:off x="0" y="0"/>
                      <a:ext cx="5221358" cy="3358196"/>
                    </a:xfrm>
                    <a:prstGeom prst="rect">
                      <a:avLst/>
                    </a:prstGeom>
                    <a:ln>
                      <a:solidFill>
                        <a:schemeClr val="tx1"/>
                      </a:solidFill>
                    </a:ln>
                  </pic:spPr>
                </pic:pic>
              </a:graphicData>
            </a:graphic>
          </wp:anchor>
        </w:drawing>
      </w:r>
    </w:p>
    <w:p w14:paraId="7BACA45B" w14:textId="77777777" w:rsidR="00555FF0" w:rsidRDefault="00555FF0" w:rsidP="00CF2D5B">
      <w:pPr>
        <w:spacing w:after="0" w:line="240" w:lineRule="auto"/>
        <w:jc w:val="both"/>
        <w:rPr>
          <w:rFonts w:cstheme="minorHAnsi"/>
          <w:i/>
          <w:iCs/>
          <w:sz w:val="24"/>
          <w:szCs w:val="24"/>
        </w:rPr>
      </w:pPr>
    </w:p>
    <w:p w14:paraId="1FECBDA0" w14:textId="58EE31B6" w:rsidR="00555FF0" w:rsidRPr="00555FF0" w:rsidRDefault="00555FF0" w:rsidP="00555FF0">
      <w:pPr>
        <w:spacing w:after="0" w:line="240" w:lineRule="auto"/>
        <w:jc w:val="both"/>
        <w:rPr>
          <w:rFonts w:cstheme="minorHAnsi"/>
          <w:i/>
          <w:iCs/>
          <w:sz w:val="24"/>
          <w:szCs w:val="24"/>
        </w:rPr>
      </w:pPr>
      <w:r w:rsidRPr="00555FF0">
        <w:rPr>
          <w:rFonts w:cstheme="minorHAnsi"/>
          <w:i/>
          <w:iCs/>
          <w:sz w:val="24"/>
          <w:szCs w:val="24"/>
        </w:rPr>
        <w:t>Figure 2.3</w:t>
      </w:r>
      <w:r>
        <w:rPr>
          <w:rFonts w:cstheme="minorHAnsi"/>
          <w:i/>
          <w:iCs/>
          <w:sz w:val="24"/>
          <w:szCs w:val="24"/>
        </w:rPr>
        <w:t>: how respondents categorised their ethnic group</w:t>
      </w:r>
    </w:p>
    <w:p w14:paraId="0673B4D3" w14:textId="77777777" w:rsidR="00555FF0" w:rsidRPr="00A4438A" w:rsidRDefault="00555FF0" w:rsidP="00CF2D5B">
      <w:pPr>
        <w:spacing w:after="0" w:line="240" w:lineRule="auto"/>
        <w:jc w:val="both"/>
        <w:rPr>
          <w:rFonts w:cstheme="minorHAnsi"/>
          <w:sz w:val="24"/>
          <w:szCs w:val="24"/>
        </w:rPr>
      </w:pPr>
    </w:p>
    <w:p w14:paraId="417F892A" w14:textId="16BDF436" w:rsidR="009B20C0" w:rsidRPr="00555FF0" w:rsidRDefault="00D86EB0" w:rsidP="00CF2D5B">
      <w:pPr>
        <w:spacing w:after="0" w:line="240" w:lineRule="auto"/>
        <w:jc w:val="both"/>
        <w:rPr>
          <w:rFonts w:cstheme="minorHAnsi"/>
          <w:i/>
          <w:iCs/>
          <w:sz w:val="24"/>
          <w:szCs w:val="24"/>
        </w:rPr>
      </w:pPr>
      <w:r w:rsidRPr="00555FF0">
        <w:rPr>
          <w:rFonts w:cstheme="minorHAnsi"/>
          <w:i/>
          <w:iCs/>
          <w:noProof/>
          <w:sz w:val="24"/>
          <w:szCs w:val="24"/>
        </w:rPr>
        <w:lastRenderedPageBreak/>
        <w:drawing>
          <wp:anchor distT="0" distB="0" distL="114300" distR="114300" simplePos="0" relativeHeight="251660288" behindDoc="0" locked="0" layoutInCell="1" allowOverlap="1" wp14:anchorId="2C41A8C4" wp14:editId="76277CE8">
            <wp:simplePos x="0" y="0"/>
            <wp:positionH relativeFrom="column">
              <wp:posOffset>-33655</wp:posOffset>
            </wp:positionH>
            <wp:positionV relativeFrom="paragraph">
              <wp:posOffset>160655</wp:posOffset>
            </wp:positionV>
            <wp:extent cx="5731510" cy="2437765"/>
            <wp:effectExtent l="19050" t="19050" r="21590" b="19685"/>
            <wp:wrapTopAndBottom/>
            <wp:docPr id="1" name="Picture 2">
              <a:extLst xmlns:a="http://schemas.openxmlformats.org/drawingml/2006/main">
                <a:ext uri="{FF2B5EF4-FFF2-40B4-BE49-F238E27FC236}">
                  <a16:creationId xmlns:a16="http://schemas.microsoft.com/office/drawing/2014/main" id="{A02BEE8D-F674-400A-9380-189414508B9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A02BEE8D-F674-400A-9380-189414508B97}"/>
                        </a:ext>
                      </a:extLst>
                    </pic:cNvPr>
                    <pic:cNvPicPr>
                      <a:picLocks noChangeAspect="1"/>
                    </pic:cNvPicPr>
                  </pic:nvPicPr>
                  <pic:blipFill>
                    <a:blip r:embed="rId12"/>
                    <a:stretch>
                      <a:fillRect/>
                    </a:stretch>
                  </pic:blipFill>
                  <pic:spPr>
                    <a:xfrm>
                      <a:off x="0" y="0"/>
                      <a:ext cx="5731510" cy="2437765"/>
                    </a:xfrm>
                    <a:prstGeom prst="rect">
                      <a:avLst/>
                    </a:prstGeom>
                    <a:ln>
                      <a:solidFill>
                        <a:schemeClr val="tx1"/>
                      </a:solidFill>
                    </a:ln>
                  </pic:spPr>
                </pic:pic>
              </a:graphicData>
            </a:graphic>
          </wp:anchor>
        </w:drawing>
      </w:r>
      <w:r w:rsidRPr="00555FF0">
        <w:rPr>
          <w:rFonts w:cstheme="minorHAnsi"/>
          <w:i/>
          <w:iCs/>
          <w:sz w:val="24"/>
          <w:szCs w:val="24"/>
        </w:rPr>
        <w:t>Figure 2.4</w:t>
      </w:r>
      <w:r w:rsidR="00555FF0">
        <w:rPr>
          <w:rFonts w:cstheme="minorHAnsi"/>
          <w:i/>
          <w:iCs/>
          <w:sz w:val="24"/>
          <w:szCs w:val="24"/>
        </w:rPr>
        <w:t xml:space="preserve">: where respondents said they were </w:t>
      </w:r>
      <w:proofErr w:type="gramStart"/>
      <w:r w:rsidR="00555FF0">
        <w:rPr>
          <w:rFonts w:cstheme="minorHAnsi"/>
          <w:i/>
          <w:iCs/>
          <w:sz w:val="24"/>
          <w:szCs w:val="24"/>
        </w:rPr>
        <w:t>based</w:t>
      </w:r>
      <w:proofErr w:type="gramEnd"/>
    </w:p>
    <w:p w14:paraId="142F59BE" w14:textId="61B50994" w:rsidR="009B20C0" w:rsidRPr="00A4438A" w:rsidRDefault="009B20C0" w:rsidP="00CF2D5B">
      <w:pPr>
        <w:spacing w:after="0" w:line="240" w:lineRule="auto"/>
        <w:jc w:val="both"/>
        <w:rPr>
          <w:rFonts w:cstheme="minorHAnsi"/>
          <w:sz w:val="24"/>
          <w:szCs w:val="24"/>
        </w:rPr>
      </w:pPr>
    </w:p>
    <w:p w14:paraId="49486B24" w14:textId="77777777" w:rsidR="009B20C0" w:rsidRPr="00A4438A" w:rsidRDefault="009B20C0" w:rsidP="00CF2D5B">
      <w:pPr>
        <w:spacing w:after="0" w:line="240" w:lineRule="auto"/>
        <w:jc w:val="both"/>
        <w:rPr>
          <w:rFonts w:cstheme="minorHAnsi"/>
          <w:sz w:val="24"/>
          <w:szCs w:val="24"/>
        </w:rPr>
      </w:pPr>
    </w:p>
    <w:p w14:paraId="7989ACF1" w14:textId="77777777" w:rsidR="009B20C0" w:rsidRPr="00A4438A" w:rsidRDefault="009B20C0" w:rsidP="00CF2D5B">
      <w:pPr>
        <w:spacing w:after="0" w:line="240" w:lineRule="auto"/>
        <w:jc w:val="both"/>
        <w:rPr>
          <w:rFonts w:cstheme="minorHAnsi"/>
          <w:sz w:val="24"/>
          <w:szCs w:val="24"/>
        </w:rPr>
      </w:pPr>
    </w:p>
    <w:p w14:paraId="574B089F" w14:textId="77777777" w:rsidR="0088016A" w:rsidRPr="00A4438A" w:rsidRDefault="0088016A" w:rsidP="00CF2D5B">
      <w:pPr>
        <w:spacing w:after="0" w:line="240" w:lineRule="auto"/>
        <w:jc w:val="both"/>
        <w:rPr>
          <w:rFonts w:cstheme="minorHAnsi"/>
          <w:sz w:val="24"/>
          <w:szCs w:val="24"/>
        </w:rPr>
      </w:pPr>
      <w:r w:rsidRPr="00A4438A">
        <w:rPr>
          <w:rFonts w:cstheme="minorHAnsi"/>
          <w:sz w:val="24"/>
          <w:szCs w:val="24"/>
        </w:rPr>
        <w:br w:type="page"/>
      </w:r>
    </w:p>
    <w:p w14:paraId="068FD5DF" w14:textId="016F810C" w:rsidR="00F4355E" w:rsidRPr="00A4438A" w:rsidRDefault="00F4355E" w:rsidP="00CF2D5B">
      <w:pPr>
        <w:spacing w:after="120" w:line="276" w:lineRule="auto"/>
        <w:jc w:val="both"/>
        <w:rPr>
          <w:rFonts w:cstheme="minorHAnsi"/>
          <w:b/>
          <w:bCs/>
          <w:sz w:val="24"/>
          <w:szCs w:val="24"/>
          <w:u w:val="single"/>
        </w:rPr>
      </w:pPr>
      <w:r w:rsidRPr="00A4438A">
        <w:rPr>
          <w:rFonts w:cstheme="minorHAnsi"/>
          <w:b/>
          <w:bCs/>
          <w:sz w:val="24"/>
          <w:szCs w:val="24"/>
          <w:u w:val="single"/>
        </w:rPr>
        <w:lastRenderedPageBreak/>
        <w:t xml:space="preserve">Chapter Three: What the respondents </w:t>
      </w:r>
      <w:proofErr w:type="gramStart"/>
      <w:r w:rsidRPr="00A4438A">
        <w:rPr>
          <w:rFonts w:cstheme="minorHAnsi"/>
          <w:b/>
          <w:bCs/>
          <w:sz w:val="24"/>
          <w:szCs w:val="24"/>
          <w:u w:val="single"/>
        </w:rPr>
        <w:t>said</w:t>
      </w:r>
      <w:proofErr w:type="gramEnd"/>
      <w:r w:rsidRPr="00A4438A">
        <w:rPr>
          <w:rFonts w:cstheme="minorHAnsi"/>
          <w:b/>
          <w:bCs/>
          <w:sz w:val="24"/>
          <w:szCs w:val="24"/>
          <w:u w:val="single"/>
        </w:rPr>
        <w:t xml:space="preserve"> </w:t>
      </w:r>
    </w:p>
    <w:p w14:paraId="48D09B59" w14:textId="41EACB4C" w:rsidR="00F4355E" w:rsidRPr="00A4438A" w:rsidRDefault="00F4355E" w:rsidP="00CF2D5B">
      <w:pPr>
        <w:spacing w:after="120" w:line="276" w:lineRule="auto"/>
        <w:jc w:val="both"/>
        <w:rPr>
          <w:rFonts w:cstheme="minorHAnsi"/>
          <w:sz w:val="24"/>
          <w:szCs w:val="24"/>
        </w:rPr>
      </w:pPr>
    </w:p>
    <w:p w14:paraId="50925641" w14:textId="44DB40E5" w:rsidR="00F11CC8" w:rsidRPr="00A4438A" w:rsidRDefault="00F11CC8" w:rsidP="00CF2D5B">
      <w:pPr>
        <w:spacing w:after="120" w:line="276" w:lineRule="auto"/>
        <w:jc w:val="both"/>
        <w:rPr>
          <w:rFonts w:cstheme="minorHAnsi"/>
          <w:b/>
          <w:bCs/>
          <w:sz w:val="24"/>
          <w:szCs w:val="24"/>
        </w:rPr>
      </w:pPr>
      <w:r w:rsidRPr="00A4438A">
        <w:rPr>
          <w:rFonts w:cstheme="minorHAnsi"/>
          <w:b/>
          <w:bCs/>
          <w:sz w:val="24"/>
          <w:szCs w:val="24"/>
        </w:rPr>
        <w:t>Introduction</w:t>
      </w:r>
    </w:p>
    <w:p w14:paraId="3F08AAA1" w14:textId="77777777" w:rsidR="00FF6F6C" w:rsidRPr="00FF6F6C" w:rsidRDefault="00FF6F6C" w:rsidP="00CF2D5B">
      <w:pPr>
        <w:pStyle w:val="ListParagraph"/>
        <w:numPr>
          <w:ilvl w:val="0"/>
          <w:numId w:val="34"/>
        </w:numPr>
        <w:spacing w:after="120" w:line="276" w:lineRule="auto"/>
        <w:jc w:val="both"/>
        <w:rPr>
          <w:rFonts w:cstheme="minorHAnsi"/>
          <w:vanish/>
          <w:sz w:val="24"/>
          <w:szCs w:val="24"/>
        </w:rPr>
      </w:pPr>
    </w:p>
    <w:p w14:paraId="5F9D2838" w14:textId="28C13434" w:rsidR="0005279C" w:rsidRPr="00FF6F6C" w:rsidRDefault="006D3814"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In our consultation we asked respondents about the clarity of each guidance document, and their views on our proposals for introducing the guidance and monitoring its application by institutions.</w:t>
      </w:r>
    </w:p>
    <w:p w14:paraId="661AB16D" w14:textId="28A3B0E7" w:rsidR="00BC6D34" w:rsidRPr="00FF6F6C" w:rsidRDefault="0005279C"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Below we summarise the range of views and recurring themes from the responses. </w:t>
      </w:r>
    </w:p>
    <w:p w14:paraId="512AE41E" w14:textId="15B6B711" w:rsidR="00F55091" w:rsidRPr="00295E3A" w:rsidRDefault="00206CA1" w:rsidP="00CF2D5B">
      <w:pPr>
        <w:pStyle w:val="ListParagraph"/>
        <w:numPr>
          <w:ilvl w:val="1"/>
          <w:numId w:val="34"/>
        </w:numPr>
        <w:spacing w:after="120" w:line="276" w:lineRule="auto"/>
        <w:ind w:left="567" w:hanging="567"/>
        <w:jc w:val="both"/>
        <w:rPr>
          <w:rFonts w:cstheme="minorHAnsi"/>
          <w:sz w:val="24"/>
          <w:szCs w:val="24"/>
        </w:rPr>
      </w:pPr>
      <w:r w:rsidRPr="00A4438A">
        <w:rPr>
          <w:noProof/>
        </w:rPr>
        <mc:AlternateContent>
          <mc:Choice Requires="wps">
            <w:drawing>
              <wp:anchor distT="0" distB="0" distL="114300" distR="114300" simplePos="0" relativeHeight="251702272" behindDoc="0" locked="0" layoutInCell="1" allowOverlap="1" wp14:anchorId="76A7F43D" wp14:editId="4401D36F">
                <wp:simplePos x="0" y="0"/>
                <wp:positionH relativeFrom="column">
                  <wp:posOffset>0</wp:posOffset>
                </wp:positionH>
                <wp:positionV relativeFrom="paragraph">
                  <wp:posOffset>836295</wp:posOffset>
                </wp:positionV>
                <wp:extent cx="5133340" cy="1163955"/>
                <wp:effectExtent l="266700" t="0" r="10160" b="17145"/>
                <wp:wrapTopAndBottom/>
                <wp:docPr id="5" name="Speech Bubble: Rectangle with Corners Rounded 5"/>
                <wp:cNvGraphicFramePr/>
                <a:graphic xmlns:a="http://schemas.openxmlformats.org/drawingml/2006/main">
                  <a:graphicData uri="http://schemas.microsoft.com/office/word/2010/wordprocessingShape">
                    <wps:wsp>
                      <wps:cNvSpPr/>
                      <wps:spPr>
                        <a:xfrm>
                          <a:off x="0" y="0"/>
                          <a:ext cx="5133340" cy="1163955"/>
                        </a:xfrm>
                        <a:prstGeom prst="wedgeRoundRectCallout">
                          <a:avLst>
                            <a:gd name="adj1" fmla="val -54671"/>
                            <a:gd name="adj2" fmla="val 45292"/>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62DF19" w14:textId="77777777" w:rsidR="00295E3A" w:rsidRPr="004A117E" w:rsidRDefault="00295E3A" w:rsidP="00295E3A">
                            <w:pPr>
                              <w:spacing w:after="0" w:line="240" w:lineRule="auto"/>
                              <w:rPr>
                                <w:rFonts w:ascii="Calibri" w:hAnsi="Calibri" w:cs="Calibri"/>
                                <w:color w:val="000000"/>
                                <w:sz w:val="24"/>
                                <w:szCs w:val="24"/>
                              </w:rPr>
                            </w:pPr>
                            <w:r w:rsidRPr="004A117E">
                              <w:rPr>
                                <w:rFonts w:ascii="Calibri" w:hAnsi="Calibri" w:cs="Calibri"/>
                                <w:color w:val="000000"/>
                                <w:sz w:val="24"/>
                                <w:szCs w:val="24"/>
                              </w:rPr>
                              <w:t>We, as a group of students at Newcastle University, welcome the invitation to help influence future guidance. We will be commenting on the sustainability guidance only but welcome changes to the fire and safety guidance so that we can design safer and more sustainable buildings.”</w:t>
                            </w:r>
                          </w:p>
                          <w:p w14:paraId="4215B27A" w14:textId="77777777" w:rsidR="00295E3A" w:rsidRPr="004A117E" w:rsidRDefault="00295E3A" w:rsidP="00295E3A">
                            <w:pPr>
                              <w:spacing w:after="0" w:line="240" w:lineRule="auto"/>
                              <w:rPr>
                                <w:rFonts w:ascii="Calibri" w:eastAsia="Times New Roman" w:hAnsi="Calibri" w:cs="Calibri"/>
                                <w:b/>
                                <w:bCs/>
                                <w:i/>
                                <w:iCs/>
                                <w:color w:val="000000"/>
                                <w:sz w:val="24"/>
                                <w:szCs w:val="24"/>
                                <w:lang w:eastAsia="en-GB"/>
                              </w:rPr>
                            </w:pPr>
                            <w:r w:rsidRPr="004A117E">
                              <w:rPr>
                                <w:rFonts w:ascii="Calibri" w:eastAsia="Times New Roman" w:hAnsi="Calibri" w:cs="Calibri"/>
                                <w:b/>
                                <w:bCs/>
                                <w:i/>
                                <w:iCs/>
                                <w:color w:val="000000"/>
                                <w:sz w:val="24"/>
                                <w:szCs w:val="24"/>
                                <w:lang w:eastAsia="en-GB"/>
                              </w:rPr>
                              <w:t>Newcastle Students Climate Action Network</w:t>
                            </w:r>
                          </w:p>
                          <w:p w14:paraId="556CB77A" w14:textId="77777777" w:rsidR="00295E3A" w:rsidRDefault="00295E3A" w:rsidP="00295E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7F4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left:0;text-align:left;margin-left:0;margin-top:65.85pt;width:404.2pt;height:9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CxV9AIAAGcGAAAOAAAAZHJzL2Uyb0RvYy54bWysVd9P2zAQfp+0/8HyO6RpmzIqUtQVMU1C&#10;gCgTz65jN5kcn2e7Tbu/nrOTtN1AmzSNB+PL3X2+++5Hr653tSJbYV0FOqfp+YASoTkUlV7n9Nvz&#10;7dknSpxnumAKtMjpXjh6Pfv44aoxUzGEElQhLEEQ7aaNyWnpvZkmieOlqJk7ByM0KiXYmnkU7Top&#10;LGsQvVbJcDCYJA3Ywljgwjn8etMq6SziSym4f5DSCU9UTjE2H08bz1U4k9kVm64tM2XFuzDYP0RR&#10;s0rjoweoG+YZ2djqDVRdcQsOpD/nUCcgZcVFzAGzSQe/ZbMsmRExFyTHmQNN7v/B8vvtoyVVkdOM&#10;Es1qLNHSCMFL8nmzWikxJU/IIdNrJUhT+ZIswGosN3mCjS5EQbJAYWPcFJGW5tF2ksNr4GMnbR3+&#10;Y6ZkF2nfH2gXO084fszS0Wg0xupw1KXpZHSZRdTk6G6s818E1CRcctqIYi1iBCG6BVMKNj7yz7Z3&#10;zsdCFF06rPieUiJrhXXdMkXOsvHkIu0Kf2I0PDUaZ8PL4Vub0alNOplMLoINxtk9i7c+0hCDA1UV&#10;t5VSUQgtLRbKEowip6t1jAE9frFS+m+OjHOh/bh7+MQZoYJ3EorR0h9vfq9EwFT6SUisNBI+jFTF&#10;GTsG1OKmrapkhWjjzAb41z/WpxBzjoABWWKGB+wOoLdsQXrslqzOPriKOKIH58GfAmudDx7xZdD+&#10;4FxXGux7AMr3VMvWvieppSaw5HerXde5Kyj2OBIW2l3hDL+tsOnumPOPzGITYaPiwvMPeEgFTU6h&#10;u1FSgv353vdgjzOLWkoaXDY5dT82zApK1FeN03yZjkP/+yiMs4shCvZUszrV6E29AGwhbGuMLl6D&#10;vVf9VVqoX3AvzsOrqGKa49s55d72wsK3SxA3KxfzeTTDjWSYv9NLwwN4IDh08/PuhVnTTZ7Hob2H&#10;fjF1jd9W5mgbPDXMNx5k5YMyUNzy2gm4zWIPdZs3rMtTOVodfx9mrwAAAP//AwBQSwMEFAAGAAgA&#10;AAAhAKnbUE3dAAAACAEAAA8AAABkcnMvZG93bnJldi54bWxMj09PhDAQxe8mfodmTLy5LaIsQcqG&#10;mBiPZneJ50K7gEunhJY/fnvHkx7fvMl7v5cfNjuwxUy+dygh2glgBhune2wlVOe3hxSYDwq1Ghwa&#10;Cd/Gw6G4vclVpt2KR7OcQssoBH2mJHQhjBnnvumMVX7nRoPkXdxkVSA5tVxPaqVwO/BHIRJuVY/U&#10;0KnRvHamuZ5mK+G6X5OqjJOv925p+vmz+qjL40XK+7utfAEWzBb+nuEXn9ChIKbazag9GyTQkEDX&#10;ONoDIzsV6ROwWkIcPQvgRc7/Dyh+AAAA//8DAFBLAQItABQABgAIAAAAIQC2gziS/gAAAOEBAAAT&#10;AAAAAAAAAAAAAAAAAAAAAABbQ29udGVudF9UeXBlc10ueG1sUEsBAi0AFAAGAAgAAAAhADj9If/W&#10;AAAAlAEAAAsAAAAAAAAAAAAAAAAALwEAAF9yZWxzLy5yZWxzUEsBAi0AFAAGAAgAAAAhACrcLFX0&#10;AgAAZwYAAA4AAAAAAAAAAAAAAAAALgIAAGRycy9lMm9Eb2MueG1sUEsBAi0AFAAGAAgAAAAhAKnb&#10;UE3dAAAACAEAAA8AAAAAAAAAAAAAAAAATgUAAGRycy9kb3ducmV2LnhtbFBLBQYAAAAABAAEAPMA&#10;AABYBgAAAAA=&#10;" adj="-1009,20583" fillcolor="white [3212]" strokecolor="#ffc000 [3207]" strokeweight="1pt">
                <v:textbox>
                  <w:txbxContent>
                    <w:p w14:paraId="4E62DF19" w14:textId="77777777" w:rsidR="00295E3A" w:rsidRPr="004A117E" w:rsidRDefault="00295E3A" w:rsidP="00295E3A">
                      <w:pPr>
                        <w:spacing w:after="0" w:line="240" w:lineRule="auto"/>
                        <w:rPr>
                          <w:rFonts w:ascii="Calibri" w:hAnsi="Calibri" w:cs="Calibri"/>
                          <w:color w:val="000000"/>
                          <w:sz w:val="24"/>
                          <w:szCs w:val="24"/>
                        </w:rPr>
                      </w:pPr>
                      <w:r w:rsidRPr="004A117E">
                        <w:rPr>
                          <w:rFonts w:ascii="Calibri" w:hAnsi="Calibri" w:cs="Calibri"/>
                          <w:color w:val="000000"/>
                          <w:sz w:val="24"/>
                          <w:szCs w:val="24"/>
                        </w:rPr>
                        <w:t>We, as a group of students at Newcastle University, welcome the invitation to help influence future guidance. We will be commenting on the sustainability guidance only but welcome changes to the fire and safety guidance so that we can design safer and more sustainable buildings.”</w:t>
                      </w:r>
                    </w:p>
                    <w:p w14:paraId="4215B27A" w14:textId="77777777" w:rsidR="00295E3A" w:rsidRPr="004A117E" w:rsidRDefault="00295E3A" w:rsidP="00295E3A">
                      <w:pPr>
                        <w:spacing w:after="0" w:line="240" w:lineRule="auto"/>
                        <w:rPr>
                          <w:rFonts w:ascii="Calibri" w:eastAsia="Times New Roman" w:hAnsi="Calibri" w:cs="Calibri"/>
                          <w:b/>
                          <w:bCs/>
                          <w:i/>
                          <w:iCs/>
                          <w:color w:val="000000"/>
                          <w:sz w:val="24"/>
                          <w:szCs w:val="24"/>
                          <w:lang w:eastAsia="en-GB"/>
                        </w:rPr>
                      </w:pPr>
                      <w:r w:rsidRPr="004A117E">
                        <w:rPr>
                          <w:rFonts w:ascii="Calibri" w:eastAsia="Times New Roman" w:hAnsi="Calibri" w:cs="Calibri"/>
                          <w:b/>
                          <w:bCs/>
                          <w:i/>
                          <w:iCs/>
                          <w:color w:val="000000"/>
                          <w:sz w:val="24"/>
                          <w:szCs w:val="24"/>
                          <w:lang w:eastAsia="en-GB"/>
                        </w:rPr>
                        <w:t>Newcastle Students Climate Action Network</w:t>
                      </w:r>
                    </w:p>
                    <w:p w14:paraId="556CB77A" w14:textId="77777777" w:rsidR="00295E3A" w:rsidRDefault="00295E3A" w:rsidP="00295E3A">
                      <w:pPr>
                        <w:jc w:val="center"/>
                      </w:pPr>
                    </w:p>
                  </w:txbxContent>
                </v:textbox>
                <w10:wrap type="topAndBottom"/>
              </v:shape>
            </w:pict>
          </mc:Fallback>
        </mc:AlternateContent>
      </w:r>
      <w:r w:rsidR="00BC6D34" w:rsidRPr="00A4438A">
        <w:rPr>
          <w:rFonts w:cstheme="minorHAnsi"/>
          <w:sz w:val="24"/>
          <w:szCs w:val="24"/>
        </w:rPr>
        <w:t>S</w:t>
      </w:r>
      <w:r w:rsidR="0005279C" w:rsidRPr="00A4438A">
        <w:rPr>
          <w:rFonts w:cstheme="minorHAnsi"/>
          <w:sz w:val="24"/>
          <w:szCs w:val="24"/>
        </w:rPr>
        <w:t>ome respondents used the open questions as an opportunity to welcome the intent of the guidance. We received positive feedback about both the need for the guidance, and the opportunity to help shape it, as provided by the consultation exercise.</w:t>
      </w:r>
    </w:p>
    <w:p w14:paraId="073CF92A" w14:textId="4C7DA977" w:rsidR="00295E3A" w:rsidRDefault="00206CA1" w:rsidP="00CF2D5B">
      <w:pPr>
        <w:spacing w:after="0" w:line="240" w:lineRule="auto"/>
        <w:jc w:val="both"/>
        <w:rPr>
          <w:rFonts w:eastAsia="Times New Roman" w:cstheme="minorHAnsi"/>
          <w:color w:val="000000"/>
          <w:sz w:val="24"/>
          <w:szCs w:val="24"/>
          <w:lang w:eastAsia="en-GB"/>
        </w:rPr>
      </w:pPr>
      <w:r w:rsidRPr="00A4438A">
        <w:rPr>
          <w:rFonts w:cstheme="minorHAnsi"/>
          <w:noProof/>
          <w:sz w:val="24"/>
          <w:szCs w:val="24"/>
        </w:rPr>
        <mc:AlternateContent>
          <mc:Choice Requires="wps">
            <w:drawing>
              <wp:anchor distT="0" distB="0" distL="114300" distR="114300" simplePos="0" relativeHeight="251700224" behindDoc="0" locked="0" layoutInCell="1" allowOverlap="1" wp14:anchorId="5F4DAF55" wp14:editId="422CD1E9">
                <wp:simplePos x="0" y="0"/>
                <wp:positionH relativeFrom="margin">
                  <wp:align>left</wp:align>
                </wp:positionH>
                <wp:positionV relativeFrom="paragraph">
                  <wp:posOffset>1633220</wp:posOffset>
                </wp:positionV>
                <wp:extent cx="5033010" cy="715010"/>
                <wp:effectExtent l="0" t="0" r="434340" b="46990"/>
                <wp:wrapTopAndBottom/>
                <wp:docPr id="6" name="Speech Bubble: Rectangle with Corners Rounded 6"/>
                <wp:cNvGraphicFramePr/>
                <a:graphic xmlns:a="http://schemas.openxmlformats.org/drawingml/2006/main">
                  <a:graphicData uri="http://schemas.microsoft.com/office/word/2010/wordprocessingShape">
                    <wps:wsp>
                      <wps:cNvSpPr/>
                      <wps:spPr>
                        <a:xfrm>
                          <a:off x="0" y="0"/>
                          <a:ext cx="5033010" cy="715010"/>
                        </a:xfrm>
                        <a:prstGeom prst="wedgeRoundRectCallout">
                          <a:avLst>
                            <a:gd name="adj1" fmla="val 57489"/>
                            <a:gd name="adj2" fmla="val 48241"/>
                            <a:gd name="adj3" fmla="val 16667"/>
                          </a:avLst>
                        </a:prstGeom>
                        <a:solidFill>
                          <a:sysClr val="window" lastClr="FFFFFF"/>
                        </a:solidFill>
                        <a:ln w="12700" cap="flat" cmpd="sng" algn="ctr">
                          <a:solidFill>
                            <a:srgbClr val="FFC000"/>
                          </a:solidFill>
                          <a:prstDash val="solid"/>
                          <a:miter lim="800000"/>
                        </a:ln>
                        <a:effectLst/>
                      </wps:spPr>
                      <wps:txbx>
                        <w:txbxContent>
                          <w:p w14:paraId="02B86FE2" w14:textId="77777777" w:rsidR="00295E3A" w:rsidRPr="004A117E" w:rsidRDefault="00295E3A" w:rsidP="00295E3A">
                            <w:pPr>
                              <w:spacing w:after="0" w:line="240" w:lineRule="auto"/>
                              <w:rPr>
                                <w:rFonts w:ascii="Calibri" w:hAnsi="Calibri" w:cs="Calibri"/>
                                <w:color w:val="000000"/>
                                <w:sz w:val="24"/>
                                <w:szCs w:val="24"/>
                              </w:rPr>
                            </w:pPr>
                            <w:r w:rsidRPr="004A117E">
                              <w:rPr>
                                <w:rFonts w:ascii="Calibri" w:eastAsia="Times New Roman" w:hAnsi="Calibri" w:cs="Calibri"/>
                                <w:color w:val="000000"/>
                                <w:sz w:val="24"/>
                                <w:szCs w:val="24"/>
                                <w:lang w:eastAsia="en-GB"/>
                              </w:rPr>
                              <w:t>“</w:t>
                            </w:r>
                            <w:r w:rsidRPr="004A117E">
                              <w:rPr>
                                <w:rFonts w:ascii="Calibri" w:hAnsi="Calibri" w:cs="Calibri"/>
                                <w:color w:val="000000"/>
                                <w:sz w:val="24"/>
                                <w:szCs w:val="24"/>
                              </w:rPr>
                              <w:t>We welcome the approach of providing interim guidance before the prescription criteria are revised - this is urgently needed.”</w:t>
                            </w:r>
                          </w:p>
                          <w:p w14:paraId="78A8D4B0" w14:textId="77777777" w:rsidR="00295E3A" w:rsidRPr="004A117E" w:rsidRDefault="00295E3A" w:rsidP="00295E3A">
                            <w:pPr>
                              <w:spacing w:after="0" w:line="240" w:lineRule="auto"/>
                              <w:rPr>
                                <w:rFonts w:cstheme="minorHAnsi"/>
                                <w:b/>
                                <w:bCs/>
                                <w:i/>
                                <w:iCs/>
                                <w:sz w:val="24"/>
                                <w:szCs w:val="24"/>
                              </w:rPr>
                            </w:pPr>
                            <w:r w:rsidRPr="004A117E">
                              <w:rPr>
                                <w:rFonts w:ascii="Calibri" w:eastAsia="Times New Roman" w:hAnsi="Calibri" w:cs="Calibri"/>
                                <w:b/>
                                <w:bCs/>
                                <w:i/>
                                <w:iCs/>
                                <w:color w:val="000000"/>
                                <w:sz w:val="24"/>
                                <w:szCs w:val="24"/>
                                <w:lang w:eastAsia="en-GB"/>
                              </w:rPr>
                              <w:t>Architects Declare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DAF55" id="Speech Bubble: Rectangle with Corners Rounded 6" o:spid="_x0000_s1027" type="#_x0000_t62" style="position:absolute;left:0;text-align:left;margin-left:0;margin-top:128.6pt;width:396.3pt;height:56.3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cS2AIAAL0FAAAOAAAAZHJzL2Uyb0RvYy54bWysVE1v2zAMvQ/YfxB0X52k+WpQp8hSZBhQ&#10;rEXToWdFlm0NkqhJSuzs14+S3TRddxqWg0OJFPX4qMfrm1YrchDOSzA5HV4MKBGGQyFNldPvT5tP&#10;c0p8YKZgCozI6VF4erP8+OG6sQsxghpUIRzBJMYvGpvTOgS7yDLPa6GZvwArDDpLcJoFXLoqKxxr&#10;MLtW2WgwmGYNuMI64MJ73L3tnHSZ8pel4OG+LL0IROUUsYX0dem7i99sec0WlWO2lryHwf4BhWbS&#10;4KWnVLcsMLJ38l0qLbkDD2W44KAzKEvJRaoBqxkO/qhmWzMrUi1Ijrcnmvz/S8u/HR4ckUVOp5QY&#10;prFFWysEr8nn/W6nxII8IofMVEqQRoaarMEZbDd5hL0pREGmkcLG+gVm2toH1688mpGPtnQ6/mOl&#10;pE20H0+0izYQjpuTweUlFk8JR99sOIk2psleT1vnwxcBmkQjp40oKpEARHBrphTsQ6KfHe58SH0o&#10;+mpY8WNISakVtvXAFJnMxvOrvu1nMaPzmPF8NB6+j7k8jxlOp9NZD7O/FQG/AI0QPChZbKRSaXH0&#10;a+UIIkD40hTQUKKYD7iZ00369cneHFOGNCir0WwQ6WEokFKxgKa22DJvKkqYqlB5PLhEwJvT3lW7&#10;062bzXqAWTpi34RF0LfM1x265OqK1zKgOJXUOZ3j2dNpZWJJIskL+Y4p4wvoeh6t0O7a9KgSi3Fn&#10;B8URH5qDToHe8o3Ea++QggfmsDdYH46RcI+fUgEWDb1FSQ3u19/2YzwqAb2UNChhJOTnnjmBzH41&#10;qJGr4XgcNZ8W48lshAt37tmde8xerwG7g68F0SUzxgf1YpYO9DNOm1W8FV3McLy7o75frEM3WnBe&#10;cbFapTDUuWXhzmwtj8kjc5Hwp/aZOds/6IBS+AYvcmeL9KC6Tr3GxpMGVvsApTxx3vHaNwBnRJJN&#10;P8/iEDpfp6jXqbv8DQAA//8DAFBLAwQUAAYACAAAACEAlo5Cqd0AAAAIAQAADwAAAGRycy9kb3du&#10;cmV2LnhtbEyPwU7DMBBE70j8g7VI3KhDCkkbsqkCAnFu4dDe3HibRNjrELtt4OsxJziOZjTzplxN&#10;1ogTjb53jHA7S0AQN0733CK8v73cLED4oFgr45gQvsjDqrq8KFWh3ZnXdNqEVsQS9oVC6EIYCil9&#10;05FVfuYG4ugd3GhViHJspR7VOZZbI9MkyaRVPceFTg301FHzsTlahN1rb8jnPJjv+V29TT4Pz/Wj&#10;RLy+muoHEIGm8BeGX/yIDlVk2rsjay8MQjwSENL7PAUR7XyZZiD2CPNsuQBZlfL/geoHAAD//wMA&#10;UEsBAi0AFAAGAAgAAAAhALaDOJL+AAAA4QEAABMAAAAAAAAAAAAAAAAAAAAAAFtDb250ZW50X1R5&#10;cGVzXS54bWxQSwECLQAUAAYACAAAACEAOP0h/9YAAACUAQAACwAAAAAAAAAAAAAAAAAvAQAAX3Jl&#10;bHMvLnJlbHNQSwECLQAUAAYACAAAACEAHFI3EtgCAAC9BQAADgAAAAAAAAAAAAAAAAAuAgAAZHJz&#10;L2Uyb0RvYy54bWxQSwECLQAUAAYACAAAACEAlo5Cqd0AAAAIAQAADwAAAAAAAAAAAAAAAAAyBQAA&#10;ZHJzL2Rvd25yZXYueG1sUEsFBgAAAAAEAAQA8wAAADwGAAAAAA==&#10;" adj="23218,21220" fillcolor="window" strokecolor="#ffc000" strokeweight="1pt">
                <v:textbox>
                  <w:txbxContent>
                    <w:p w14:paraId="02B86FE2" w14:textId="77777777" w:rsidR="00295E3A" w:rsidRPr="004A117E" w:rsidRDefault="00295E3A" w:rsidP="00295E3A">
                      <w:pPr>
                        <w:spacing w:after="0" w:line="240" w:lineRule="auto"/>
                        <w:rPr>
                          <w:rFonts w:ascii="Calibri" w:hAnsi="Calibri" w:cs="Calibri"/>
                          <w:color w:val="000000"/>
                          <w:sz w:val="24"/>
                          <w:szCs w:val="24"/>
                        </w:rPr>
                      </w:pPr>
                      <w:r w:rsidRPr="004A117E">
                        <w:rPr>
                          <w:rFonts w:ascii="Calibri" w:eastAsia="Times New Roman" w:hAnsi="Calibri" w:cs="Calibri"/>
                          <w:color w:val="000000"/>
                          <w:sz w:val="24"/>
                          <w:szCs w:val="24"/>
                          <w:lang w:eastAsia="en-GB"/>
                        </w:rPr>
                        <w:t>“</w:t>
                      </w:r>
                      <w:r w:rsidRPr="004A117E">
                        <w:rPr>
                          <w:rFonts w:ascii="Calibri" w:hAnsi="Calibri" w:cs="Calibri"/>
                          <w:color w:val="000000"/>
                          <w:sz w:val="24"/>
                          <w:szCs w:val="24"/>
                        </w:rPr>
                        <w:t>We welcome the approach of providing interim guidance before the prescription criteria are revised - this is urgently needed.”</w:t>
                      </w:r>
                    </w:p>
                    <w:p w14:paraId="78A8D4B0" w14:textId="77777777" w:rsidR="00295E3A" w:rsidRPr="004A117E" w:rsidRDefault="00295E3A" w:rsidP="00295E3A">
                      <w:pPr>
                        <w:spacing w:after="0" w:line="240" w:lineRule="auto"/>
                        <w:rPr>
                          <w:rFonts w:cstheme="minorHAnsi"/>
                          <w:b/>
                          <w:bCs/>
                          <w:i/>
                          <w:iCs/>
                          <w:sz w:val="24"/>
                          <w:szCs w:val="24"/>
                        </w:rPr>
                      </w:pPr>
                      <w:r w:rsidRPr="004A117E">
                        <w:rPr>
                          <w:rFonts w:ascii="Calibri" w:eastAsia="Times New Roman" w:hAnsi="Calibri" w:cs="Calibri"/>
                          <w:b/>
                          <w:bCs/>
                          <w:i/>
                          <w:iCs/>
                          <w:color w:val="000000"/>
                          <w:sz w:val="24"/>
                          <w:szCs w:val="24"/>
                          <w:lang w:eastAsia="en-GB"/>
                        </w:rPr>
                        <w:t>Architects Declare UK</w:t>
                      </w:r>
                    </w:p>
                  </w:txbxContent>
                </v:textbox>
                <w10:wrap type="topAndBottom" anchorx="margin"/>
              </v:shape>
            </w:pict>
          </mc:Fallback>
        </mc:AlternateContent>
      </w:r>
    </w:p>
    <w:p w14:paraId="264A1216" w14:textId="706472FF" w:rsidR="00206CA1" w:rsidRPr="00A4438A" w:rsidRDefault="00206CA1" w:rsidP="00CF2D5B">
      <w:pPr>
        <w:spacing w:after="0" w:line="240" w:lineRule="auto"/>
        <w:jc w:val="both"/>
        <w:rPr>
          <w:rFonts w:eastAsia="Times New Roman" w:cstheme="minorHAnsi"/>
          <w:color w:val="000000"/>
          <w:sz w:val="24"/>
          <w:szCs w:val="24"/>
          <w:lang w:eastAsia="en-GB"/>
        </w:rPr>
      </w:pPr>
    </w:p>
    <w:p w14:paraId="38BC26C1" w14:textId="7031FB5C" w:rsidR="006D3814" w:rsidRPr="00A4438A" w:rsidRDefault="0083221C"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We asked how clear each document was, on a scale of 1 (very clear) to 5 (not at all clear). Figure 3.1 below shows how all 48 respondents answered.</w:t>
      </w:r>
    </w:p>
    <w:p w14:paraId="5AD0272A" w14:textId="43C3DF1D" w:rsidR="0083221C" w:rsidRPr="00A4438A" w:rsidRDefault="0083221C" w:rsidP="00CF2D5B">
      <w:pPr>
        <w:spacing w:after="0" w:line="240" w:lineRule="auto"/>
        <w:jc w:val="both"/>
        <w:rPr>
          <w:rFonts w:cstheme="minorHAnsi"/>
          <w:sz w:val="24"/>
          <w:szCs w:val="24"/>
        </w:rPr>
      </w:pPr>
    </w:p>
    <w:p w14:paraId="4C533440" w14:textId="0B5CBBC0" w:rsidR="0083221C" w:rsidRPr="00A4438A" w:rsidRDefault="0083221C" w:rsidP="00CF2D5B">
      <w:pPr>
        <w:spacing w:after="0" w:line="240" w:lineRule="auto"/>
        <w:jc w:val="both"/>
        <w:rPr>
          <w:rFonts w:cstheme="minorHAnsi"/>
          <w:sz w:val="24"/>
          <w:szCs w:val="24"/>
        </w:rPr>
      </w:pPr>
      <w:r w:rsidRPr="00A4438A">
        <w:rPr>
          <w:rFonts w:cstheme="minorHAnsi"/>
          <w:noProof/>
          <w:sz w:val="24"/>
          <w:szCs w:val="24"/>
        </w:rPr>
        <w:drawing>
          <wp:inline distT="0" distB="0" distL="0" distR="0" wp14:anchorId="6AF7B633" wp14:editId="33129301">
            <wp:extent cx="5731510" cy="2913380"/>
            <wp:effectExtent l="19050" t="19050" r="21590" b="20320"/>
            <wp:docPr id="2" name="Picture 2">
              <a:extLst xmlns:a="http://schemas.openxmlformats.org/drawingml/2006/main">
                <a:ext uri="{FF2B5EF4-FFF2-40B4-BE49-F238E27FC236}">
                  <a16:creationId xmlns:a16="http://schemas.microsoft.com/office/drawing/2014/main" id="{106DA93B-3965-4E1D-8964-A9E39C6C75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106DA93B-3965-4E1D-8964-A9E39C6C7558}"/>
                        </a:ext>
                      </a:extLst>
                    </pic:cNvPr>
                    <pic:cNvPicPr>
                      <a:picLocks noChangeAspect="1"/>
                    </pic:cNvPicPr>
                  </pic:nvPicPr>
                  <pic:blipFill>
                    <a:blip r:embed="rId13"/>
                    <a:stretch>
                      <a:fillRect/>
                    </a:stretch>
                  </pic:blipFill>
                  <pic:spPr>
                    <a:xfrm>
                      <a:off x="0" y="0"/>
                      <a:ext cx="5731510" cy="2913380"/>
                    </a:xfrm>
                    <a:prstGeom prst="rect">
                      <a:avLst/>
                    </a:prstGeom>
                    <a:ln>
                      <a:solidFill>
                        <a:schemeClr val="tx1"/>
                      </a:solidFill>
                    </a:ln>
                  </pic:spPr>
                </pic:pic>
              </a:graphicData>
            </a:graphic>
          </wp:inline>
        </w:drawing>
      </w:r>
    </w:p>
    <w:p w14:paraId="7F9B69F2" w14:textId="31038B74" w:rsidR="00BC6D34" w:rsidRPr="00555FF0" w:rsidRDefault="00BC6D34" w:rsidP="00555FF0">
      <w:pPr>
        <w:spacing w:after="0" w:line="276" w:lineRule="auto"/>
        <w:jc w:val="both"/>
        <w:rPr>
          <w:rFonts w:cstheme="minorHAnsi"/>
          <w:i/>
          <w:iCs/>
          <w:sz w:val="24"/>
          <w:szCs w:val="24"/>
        </w:rPr>
      </w:pPr>
      <w:r w:rsidRPr="00555FF0">
        <w:rPr>
          <w:rFonts w:cstheme="minorHAnsi"/>
          <w:i/>
          <w:iCs/>
          <w:sz w:val="24"/>
          <w:szCs w:val="24"/>
        </w:rPr>
        <w:t>Figure 3.1</w:t>
      </w:r>
      <w:r w:rsidR="00555FF0" w:rsidRPr="00555FF0">
        <w:rPr>
          <w:rFonts w:cstheme="minorHAnsi"/>
          <w:i/>
          <w:iCs/>
          <w:sz w:val="24"/>
          <w:szCs w:val="24"/>
        </w:rPr>
        <w:t>: how respondents rated the clarity of each guidance document</w:t>
      </w:r>
    </w:p>
    <w:p w14:paraId="1236B790" w14:textId="77777777" w:rsidR="0083221C" w:rsidRPr="00A4438A" w:rsidRDefault="0083221C" w:rsidP="00CF2D5B">
      <w:pPr>
        <w:spacing w:after="0" w:line="240" w:lineRule="auto"/>
        <w:jc w:val="both"/>
        <w:rPr>
          <w:rFonts w:cstheme="minorHAnsi"/>
          <w:sz w:val="24"/>
          <w:szCs w:val="24"/>
        </w:rPr>
      </w:pPr>
    </w:p>
    <w:p w14:paraId="6C627406" w14:textId="77777777" w:rsidR="00FF6F6C" w:rsidRDefault="00FF6F6C" w:rsidP="00CF2D5B">
      <w:pPr>
        <w:spacing w:after="0" w:line="240" w:lineRule="auto"/>
        <w:jc w:val="both"/>
        <w:rPr>
          <w:rFonts w:cstheme="minorHAnsi"/>
          <w:b/>
          <w:bCs/>
          <w:sz w:val="24"/>
          <w:szCs w:val="24"/>
        </w:rPr>
      </w:pPr>
    </w:p>
    <w:p w14:paraId="29158BE0" w14:textId="68003E49" w:rsidR="00BC6D34" w:rsidRPr="00A4438A" w:rsidRDefault="00BC6D34" w:rsidP="00CF2D5B">
      <w:pPr>
        <w:spacing w:after="120" w:line="276" w:lineRule="auto"/>
        <w:jc w:val="both"/>
        <w:rPr>
          <w:rFonts w:cstheme="minorHAnsi"/>
          <w:b/>
          <w:bCs/>
          <w:sz w:val="24"/>
          <w:szCs w:val="24"/>
        </w:rPr>
      </w:pPr>
      <w:r w:rsidRPr="00A4438A">
        <w:rPr>
          <w:rFonts w:cstheme="minorHAnsi"/>
          <w:b/>
          <w:bCs/>
          <w:sz w:val="24"/>
          <w:szCs w:val="24"/>
        </w:rPr>
        <w:t>Clarity of the Fire and life safety design guidance</w:t>
      </w:r>
    </w:p>
    <w:p w14:paraId="56CF2326" w14:textId="7633F0B8" w:rsidR="00D052E0" w:rsidRPr="00FF6F6C" w:rsidRDefault="00BC6D34" w:rsidP="00CF2D5B">
      <w:pPr>
        <w:pStyle w:val="ListParagraph"/>
        <w:numPr>
          <w:ilvl w:val="1"/>
          <w:numId w:val="34"/>
        </w:numPr>
        <w:spacing w:after="120" w:line="276" w:lineRule="auto"/>
        <w:ind w:left="567" w:hanging="567"/>
        <w:jc w:val="both"/>
        <w:rPr>
          <w:rFonts w:cstheme="minorHAnsi"/>
          <w:sz w:val="24"/>
          <w:szCs w:val="24"/>
        </w:rPr>
      </w:pPr>
      <w:bookmarkStart w:id="0" w:name="_Hlk76560110"/>
      <w:r w:rsidRPr="00A4438A">
        <w:rPr>
          <w:rFonts w:cstheme="minorHAnsi"/>
          <w:sz w:val="24"/>
          <w:szCs w:val="24"/>
        </w:rPr>
        <w:t xml:space="preserve">Forty-three per cent </w:t>
      </w:r>
      <w:r w:rsidR="0083221C" w:rsidRPr="00A4438A">
        <w:rPr>
          <w:rFonts w:cstheme="minorHAnsi"/>
          <w:sz w:val="24"/>
          <w:szCs w:val="24"/>
        </w:rPr>
        <w:t>of respondents thought the</w:t>
      </w:r>
      <w:r w:rsidRPr="00A4438A">
        <w:rPr>
          <w:rFonts w:cstheme="minorHAnsi"/>
          <w:sz w:val="24"/>
          <w:szCs w:val="24"/>
        </w:rPr>
        <w:t xml:space="preserve"> Fire and life safety design</w:t>
      </w:r>
      <w:r w:rsidR="0083221C" w:rsidRPr="00A4438A">
        <w:rPr>
          <w:rFonts w:cstheme="minorHAnsi"/>
          <w:sz w:val="24"/>
          <w:szCs w:val="24"/>
        </w:rPr>
        <w:t xml:space="preserve"> guidance was clear (ranking it at either a 1 or 2), and 16% thought it </w:t>
      </w:r>
      <w:proofErr w:type="gramStart"/>
      <w:r w:rsidR="0083221C" w:rsidRPr="00A4438A">
        <w:rPr>
          <w:rFonts w:cstheme="minorHAnsi"/>
          <w:sz w:val="24"/>
          <w:szCs w:val="24"/>
        </w:rPr>
        <w:t>wasn’t</w:t>
      </w:r>
      <w:proofErr w:type="gramEnd"/>
      <w:r w:rsidR="0083221C" w:rsidRPr="00A4438A">
        <w:rPr>
          <w:rFonts w:cstheme="minorHAnsi"/>
          <w:sz w:val="24"/>
          <w:szCs w:val="24"/>
        </w:rPr>
        <w:t xml:space="preserve"> clear (ranking it 4 or 5).</w:t>
      </w:r>
    </w:p>
    <w:bookmarkEnd w:id="0"/>
    <w:p w14:paraId="735DFAE2" w14:textId="57BBF0C6" w:rsidR="009B2BD5" w:rsidRPr="00A4438A" w:rsidRDefault="00BC6D34"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Whilst we </w:t>
      </w:r>
      <w:r w:rsidR="009B2BD5" w:rsidRPr="00A4438A">
        <w:rPr>
          <w:rFonts w:cstheme="minorHAnsi"/>
          <w:sz w:val="24"/>
          <w:szCs w:val="24"/>
        </w:rPr>
        <w:t>received general feedback that the guidance was ambiguous</w:t>
      </w:r>
      <w:r w:rsidRPr="00A4438A">
        <w:rPr>
          <w:rFonts w:cstheme="minorHAnsi"/>
          <w:sz w:val="24"/>
          <w:szCs w:val="24"/>
        </w:rPr>
        <w:t>, we received very few suggestions on how to improve it.</w:t>
      </w:r>
    </w:p>
    <w:p w14:paraId="30D04F6C" w14:textId="346D1B9C" w:rsidR="00452B0C" w:rsidRPr="00A4438A" w:rsidRDefault="00452B0C" w:rsidP="00CF2D5B">
      <w:pPr>
        <w:spacing w:after="0" w:line="240" w:lineRule="auto"/>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667456" behindDoc="0" locked="0" layoutInCell="1" allowOverlap="1" wp14:anchorId="58C906D0" wp14:editId="475500D0">
                <wp:simplePos x="0" y="0"/>
                <wp:positionH relativeFrom="column">
                  <wp:posOffset>-635</wp:posOffset>
                </wp:positionH>
                <wp:positionV relativeFrom="paragraph">
                  <wp:posOffset>187325</wp:posOffset>
                </wp:positionV>
                <wp:extent cx="5648960" cy="946150"/>
                <wp:effectExtent l="285750" t="0" r="27940" b="25400"/>
                <wp:wrapTopAndBottom/>
                <wp:docPr id="8" name="Speech Bubble: Rectangle with Corners Rounded 8"/>
                <wp:cNvGraphicFramePr/>
                <a:graphic xmlns:a="http://schemas.openxmlformats.org/drawingml/2006/main">
                  <a:graphicData uri="http://schemas.microsoft.com/office/word/2010/wordprocessingShape">
                    <wps:wsp>
                      <wps:cNvSpPr/>
                      <wps:spPr>
                        <a:xfrm>
                          <a:off x="0" y="0"/>
                          <a:ext cx="5648960" cy="946150"/>
                        </a:xfrm>
                        <a:prstGeom prst="wedgeRoundRectCallout">
                          <a:avLst>
                            <a:gd name="adj1" fmla="val -54671"/>
                            <a:gd name="adj2" fmla="val 45292"/>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F75C16" w14:textId="77777777" w:rsidR="00452B0C" w:rsidRPr="004A117E" w:rsidRDefault="00452B0C" w:rsidP="00452B0C">
                            <w:pPr>
                              <w:spacing w:after="0" w:line="240" w:lineRule="auto"/>
                              <w:rPr>
                                <w:rFonts w:ascii="Calibri" w:eastAsia="Times New Roman" w:hAnsi="Calibri" w:cs="Calibri"/>
                                <w:color w:val="000000" w:themeColor="text1"/>
                                <w:sz w:val="24"/>
                                <w:szCs w:val="24"/>
                                <w:lang w:eastAsia="en-GB"/>
                              </w:rPr>
                            </w:pPr>
                            <w:r w:rsidRPr="004A117E">
                              <w:rPr>
                                <w:rFonts w:ascii="Calibri" w:eastAsia="Times New Roman" w:hAnsi="Calibri" w:cs="Calibri"/>
                                <w:color w:val="000000" w:themeColor="text1"/>
                                <w:sz w:val="24"/>
                                <w:szCs w:val="24"/>
                                <w:lang w:eastAsia="en-GB"/>
                              </w:rPr>
                              <w:t>“Regarding fire safety design, it is deeply ambiguous what the expectations are regarding expertise vs knowledge and awareness. There is a deep misunderstanding of the role and responsibilities of the architect implied by this draft guidance.”</w:t>
                            </w:r>
                          </w:p>
                          <w:p w14:paraId="72D6C5BF" w14:textId="6392663F" w:rsidR="00452B0C" w:rsidRPr="004A117E" w:rsidRDefault="00452B0C" w:rsidP="00452B0C">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The Bartlett School of Architecture, UCL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906D0" id="Speech Bubble: Rectangle with Corners Rounded 8" o:spid="_x0000_s1028" type="#_x0000_t62" style="position:absolute;left:0;text-align:left;margin-left:-.05pt;margin-top:14.75pt;width:444.8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eC9gIAAG0GAAAOAAAAZHJzL2Uyb0RvYy54bWysVd9P2zAQfp+0/8HyO6Tp0kArUtQVMU1C&#10;A1Emnl3HbjI5Ps92m7K/fmcnabuBNmkaD8aXu/t8992PXl3vG0V2wroadEHT8xElQnMoa70p6Nen&#10;27NLSpxnumQKtCjoi3D0ev7+3VVrZmIMFahSWIIg2s1aU9DKezNLEscr0TB3DkZoVEqwDfMo2k1S&#10;WtYieqOS8WiUJy3Y0ljgwjn8etMp6TziSym4v5fSCU9UQTE2H08bz3U4k/kVm20sM1XN+zDYP0TR&#10;sFrjoweoG+YZ2dr6FVRTcwsOpD/n0CQgZc1FzAGzSUe/ZbOqmBExFyTHmQNN7v/B8i+7B0vqsqBY&#10;KM0aLNHKCMEr8nG7XisxI4/IIdMbJUhb+4oswWosN3mErS5FSS4Dha1xM0RamQfbSw6vgY+9tE34&#10;j5mSfaT95UC72HvC8eMkzy6nOVaHo26a5ekk1iU5ehvr/CcBDQmXgrai3IgYQAhuyZSCrY/0s92d&#10;87EOZZ8NK7+llMhGYVl3TJGzSZZfpH3dT4zGp0bZZDwdv7b5cGqT5nl+EWwwzv5ZvA2RhhgcqLq8&#10;rZWKQuhosVSWYBQFXW9iDOjxi5XSf3NknAvts/7hE2eECt5JqEXHfrz5FyUCptKPQmKhke9xpCqO&#10;2DGgDjftVBUrRRfnZIR/w2NDCjHnCBiQJWZ4wO4BBssOZMDuyOrtg6uIE3pwHv0psM754BFfBu0P&#10;zk2twb4FoPxAtezsB5I6agJLfr/exyGIRQ9f1lC+4GBY6DaGM/y2xt67Y84/MIu9hO2Ka8/f4yEV&#10;tAWF/kZJBfbHW9+DPU4uailpceUU1H3fMisoUZ81zvQ0zbKwo6KQTS7GKNhTzfpUo7fNErCTsLsx&#10;ungN9l4NV2mhecbtuAivooppjm8XlHs7CEvfrULcr1wsFtEM95Jh/k6vDA/ggefQ1E/7Z2ZNP4Ae&#10;R/cLDOup7/+uQEfb4KlhsfUgax+UR157AXdabKV+/4aleSpHq+OvxPwnAAAA//8DAFBLAwQUAAYA&#10;CAAAACEAiO/spN0AAAAIAQAADwAAAGRycy9kb3ducmV2LnhtbEyPy07DMBBF90j8gzWV2LVOi5qG&#10;EKeKkBBL1BKxdmI3ThuPo9h58PdMV7Cb0T26cyY7LrZjkx5861DAdhMB01g71WIjoPx6XyfAfJCo&#10;ZOdQC/jRHo7540MmU+VmPOnpHBpGJehTKcCE0Kec+9poK/3G9Ropu7jBykDr0HA1yJnKbcd3URRz&#10;K1ukC0b2+s3o+nYerYDbYY7L4jm+fpipbsfv8rMqThchnlZL8Qos6CX8wXDXJ3XIyalyIyrPOgHr&#10;LYECdi97YBQnyX2oiDske+B5xv8/kP8CAAD//wMAUEsBAi0AFAAGAAgAAAAhALaDOJL+AAAA4QEA&#10;ABMAAAAAAAAAAAAAAAAAAAAAAFtDb250ZW50X1R5cGVzXS54bWxQSwECLQAUAAYACAAAACEAOP0h&#10;/9YAAACUAQAACwAAAAAAAAAAAAAAAAAvAQAAX3JlbHMvLnJlbHNQSwECLQAUAAYACAAAACEAeAX3&#10;gvYCAABtBgAADgAAAAAAAAAAAAAAAAAuAgAAZHJzL2Uyb0RvYy54bWxQSwECLQAUAAYACAAAACEA&#10;iO/spN0AAAAIAQAADwAAAAAAAAAAAAAAAABQBQAAZHJzL2Rvd25yZXYueG1sUEsFBgAAAAAEAAQA&#10;8wAAAFoGAAAAAA==&#10;" adj="-1009,20583" fillcolor="white [3212]" strokecolor="#ffc000 [3207]" strokeweight="1pt">
                <v:textbox>
                  <w:txbxContent>
                    <w:p w14:paraId="53F75C16" w14:textId="77777777" w:rsidR="00452B0C" w:rsidRPr="004A117E" w:rsidRDefault="00452B0C" w:rsidP="00452B0C">
                      <w:pPr>
                        <w:spacing w:after="0" w:line="240" w:lineRule="auto"/>
                        <w:rPr>
                          <w:rFonts w:ascii="Calibri" w:eastAsia="Times New Roman" w:hAnsi="Calibri" w:cs="Calibri"/>
                          <w:color w:val="000000" w:themeColor="text1"/>
                          <w:sz w:val="24"/>
                          <w:szCs w:val="24"/>
                          <w:lang w:eastAsia="en-GB"/>
                        </w:rPr>
                      </w:pPr>
                      <w:r w:rsidRPr="004A117E">
                        <w:rPr>
                          <w:rFonts w:ascii="Calibri" w:eastAsia="Times New Roman" w:hAnsi="Calibri" w:cs="Calibri"/>
                          <w:color w:val="000000" w:themeColor="text1"/>
                          <w:sz w:val="24"/>
                          <w:szCs w:val="24"/>
                          <w:lang w:eastAsia="en-GB"/>
                        </w:rPr>
                        <w:t>“Regarding fire safety design, it is deeply ambiguous what the expectations are regarding expertise vs knowledge and awareness. There is a deep misunderstanding of the role and responsibilities of the architect implied by this draft guidance.”</w:t>
                      </w:r>
                    </w:p>
                    <w:p w14:paraId="72D6C5BF" w14:textId="6392663F" w:rsidR="00452B0C" w:rsidRPr="004A117E" w:rsidRDefault="00452B0C" w:rsidP="00452B0C">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The Bartlett School of Architecture, UCL</w:t>
                      </w:r>
                    </w:p>
                  </w:txbxContent>
                </v:textbox>
                <w10:wrap type="topAndBottom"/>
              </v:shape>
            </w:pict>
          </mc:Fallback>
        </mc:AlternateContent>
      </w:r>
    </w:p>
    <w:p w14:paraId="0A6534EA" w14:textId="6959C80E" w:rsidR="00D052E0" w:rsidRPr="00A4438A" w:rsidRDefault="00D052E0" w:rsidP="00CF2D5B">
      <w:pPr>
        <w:spacing w:after="0" w:line="240" w:lineRule="auto"/>
        <w:jc w:val="both"/>
        <w:rPr>
          <w:rFonts w:cstheme="minorHAnsi"/>
          <w:sz w:val="24"/>
          <w:szCs w:val="24"/>
        </w:rPr>
      </w:pPr>
    </w:p>
    <w:p w14:paraId="345CBBF8" w14:textId="28EB85E3" w:rsidR="00A76D8D" w:rsidRPr="00A4438A" w:rsidRDefault="00A76D8D"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Two </w:t>
      </w:r>
      <w:r w:rsidR="00BC6D34" w:rsidRPr="00A4438A">
        <w:rPr>
          <w:rFonts w:cstheme="minorHAnsi"/>
          <w:sz w:val="24"/>
          <w:szCs w:val="24"/>
        </w:rPr>
        <w:t xml:space="preserve">architects responding to the consultation </w:t>
      </w:r>
      <w:r w:rsidRPr="00A4438A">
        <w:rPr>
          <w:rFonts w:cstheme="minorHAnsi"/>
          <w:sz w:val="24"/>
          <w:szCs w:val="24"/>
        </w:rPr>
        <w:t>suggested that the guidance should refer to specific standards and regulations, by naming those that are relevant and should be covered as part of an architect’s education.</w:t>
      </w:r>
      <w:r w:rsidR="00BC6D34" w:rsidRPr="00A4438A">
        <w:rPr>
          <w:rFonts w:cstheme="minorHAnsi"/>
          <w:sz w:val="24"/>
          <w:szCs w:val="24"/>
        </w:rPr>
        <w:t xml:space="preserve"> It was suggested that the guidance refer to standards that have been developed in other parts of the built environment sector. It was also suggested that more attention could be paid to the need to understand collaboration and consultation when considering fire safety design.</w:t>
      </w:r>
    </w:p>
    <w:p w14:paraId="000A93BE" w14:textId="70834953" w:rsidR="00A76D8D" w:rsidRDefault="00A76D8D" w:rsidP="00CF2D5B">
      <w:pPr>
        <w:spacing w:after="120" w:line="276" w:lineRule="auto"/>
        <w:jc w:val="both"/>
        <w:rPr>
          <w:rFonts w:cstheme="minorHAnsi"/>
          <w:sz w:val="24"/>
          <w:szCs w:val="24"/>
        </w:rPr>
      </w:pPr>
    </w:p>
    <w:p w14:paraId="2C2B9C7B" w14:textId="10245436" w:rsidR="00BC6D34" w:rsidRPr="00A4438A" w:rsidRDefault="00BC6D34" w:rsidP="00CF2D5B">
      <w:pPr>
        <w:spacing w:after="120" w:line="276" w:lineRule="auto"/>
        <w:jc w:val="both"/>
        <w:rPr>
          <w:rFonts w:cstheme="minorHAnsi"/>
          <w:b/>
          <w:bCs/>
          <w:sz w:val="24"/>
          <w:szCs w:val="24"/>
        </w:rPr>
      </w:pPr>
      <w:r w:rsidRPr="00A4438A">
        <w:rPr>
          <w:rFonts w:cstheme="minorHAnsi"/>
          <w:b/>
          <w:bCs/>
          <w:sz w:val="24"/>
          <w:szCs w:val="24"/>
        </w:rPr>
        <w:t>Clarity of the Sustainability guidance</w:t>
      </w:r>
    </w:p>
    <w:p w14:paraId="2C1B4C30" w14:textId="77777777" w:rsidR="00FF6F6C" w:rsidRDefault="00BC6D34" w:rsidP="00CF2D5B">
      <w:pPr>
        <w:pStyle w:val="ListParagraph"/>
        <w:numPr>
          <w:ilvl w:val="1"/>
          <w:numId w:val="34"/>
        </w:numPr>
        <w:spacing w:after="120" w:line="276" w:lineRule="auto"/>
        <w:ind w:left="567" w:hanging="567"/>
        <w:jc w:val="both"/>
        <w:rPr>
          <w:rFonts w:cstheme="minorHAnsi"/>
          <w:sz w:val="24"/>
          <w:szCs w:val="24"/>
        </w:rPr>
      </w:pPr>
      <w:bookmarkStart w:id="1" w:name="_Hlk76560138"/>
      <w:r w:rsidRPr="00A4438A">
        <w:rPr>
          <w:rFonts w:cstheme="minorHAnsi"/>
          <w:sz w:val="24"/>
          <w:szCs w:val="24"/>
        </w:rPr>
        <w:t>Forty per cent</w:t>
      </w:r>
      <w:r w:rsidR="00D22D34" w:rsidRPr="00A4438A">
        <w:rPr>
          <w:rFonts w:cstheme="minorHAnsi"/>
          <w:sz w:val="24"/>
          <w:szCs w:val="24"/>
        </w:rPr>
        <w:t xml:space="preserve"> of respondents thought the </w:t>
      </w:r>
      <w:r w:rsidRPr="00A4438A">
        <w:rPr>
          <w:rFonts w:cstheme="minorHAnsi"/>
          <w:sz w:val="24"/>
          <w:szCs w:val="24"/>
        </w:rPr>
        <w:t xml:space="preserve">Sustainability </w:t>
      </w:r>
      <w:r w:rsidR="00D22D34" w:rsidRPr="00A4438A">
        <w:rPr>
          <w:rFonts w:cstheme="minorHAnsi"/>
          <w:sz w:val="24"/>
          <w:szCs w:val="24"/>
        </w:rPr>
        <w:t xml:space="preserve">guidance was clear (ranking it at either a 1 or 2), and 23% thought it </w:t>
      </w:r>
      <w:proofErr w:type="gramStart"/>
      <w:r w:rsidR="00D22D34" w:rsidRPr="00A4438A">
        <w:rPr>
          <w:rFonts w:cstheme="minorHAnsi"/>
          <w:sz w:val="24"/>
          <w:szCs w:val="24"/>
        </w:rPr>
        <w:t>wasn’t</w:t>
      </w:r>
      <w:proofErr w:type="gramEnd"/>
      <w:r w:rsidR="00D22D34" w:rsidRPr="00A4438A">
        <w:rPr>
          <w:rFonts w:cstheme="minorHAnsi"/>
          <w:sz w:val="24"/>
          <w:szCs w:val="24"/>
        </w:rPr>
        <w:t xml:space="preserve"> clear (ranking it 4 or 5). </w:t>
      </w:r>
      <w:bookmarkEnd w:id="1"/>
      <w:r w:rsidR="00D22D34" w:rsidRPr="00A4438A">
        <w:rPr>
          <w:rFonts w:cstheme="minorHAnsi"/>
          <w:sz w:val="24"/>
          <w:szCs w:val="24"/>
        </w:rPr>
        <w:t xml:space="preserve">Climate groups were less likely to agree the Sustainability guidance was clear, with three out of the four groups stating that it was not clear. </w:t>
      </w:r>
    </w:p>
    <w:p w14:paraId="5CB607C1" w14:textId="2566E8B2" w:rsidR="009B2BD5" w:rsidRPr="00FF6F6C" w:rsidRDefault="0005279C" w:rsidP="00CF2D5B">
      <w:pPr>
        <w:pStyle w:val="ListParagraph"/>
        <w:numPr>
          <w:ilvl w:val="1"/>
          <w:numId w:val="34"/>
        </w:numPr>
        <w:spacing w:after="120" w:line="276" w:lineRule="auto"/>
        <w:ind w:left="567" w:hanging="567"/>
        <w:jc w:val="both"/>
        <w:rPr>
          <w:rFonts w:cstheme="minorHAnsi"/>
          <w:sz w:val="24"/>
          <w:szCs w:val="24"/>
        </w:rPr>
      </w:pPr>
      <w:r w:rsidRPr="00FF6F6C">
        <w:rPr>
          <w:rFonts w:cstheme="minorHAnsi"/>
          <w:sz w:val="24"/>
          <w:szCs w:val="24"/>
        </w:rPr>
        <w:t xml:space="preserve">The </w:t>
      </w:r>
      <w:r w:rsidR="00555FF0">
        <w:rPr>
          <w:rFonts w:cstheme="minorHAnsi"/>
          <w:sz w:val="24"/>
          <w:szCs w:val="24"/>
        </w:rPr>
        <w:t xml:space="preserve">views </w:t>
      </w:r>
      <w:r w:rsidR="00D22D34" w:rsidRPr="00FF6F6C">
        <w:rPr>
          <w:rFonts w:cstheme="minorHAnsi"/>
          <w:sz w:val="24"/>
          <w:szCs w:val="24"/>
        </w:rPr>
        <w:t xml:space="preserve">respondents </w:t>
      </w:r>
      <w:r w:rsidR="00555FF0">
        <w:rPr>
          <w:rFonts w:cstheme="minorHAnsi"/>
          <w:sz w:val="24"/>
          <w:szCs w:val="24"/>
        </w:rPr>
        <w:t>shared</w:t>
      </w:r>
      <w:r w:rsidR="00D22D34" w:rsidRPr="00FF6F6C">
        <w:rPr>
          <w:rFonts w:cstheme="minorHAnsi"/>
          <w:sz w:val="24"/>
          <w:szCs w:val="24"/>
        </w:rPr>
        <w:t xml:space="preserve"> about how to improve the Sustainability guidance</w:t>
      </w:r>
      <w:r w:rsidRPr="00FF6F6C">
        <w:rPr>
          <w:rFonts w:cstheme="minorHAnsi"/>
          <w:sz w:val="24"/>
          <w:szCs w:val="24"/>
        </w:rPr>
        <w:t xml:space="preserve"> tended to fall within following areas</w:t>
      </w:r>
      <w:r w:rsidR="00E3353A">
        <w:rPr>
          <w:rFonts w:cstheme="minorHAnsi"/>
          <w:sz w:val="24"/>
          <w:szCs w:val="24"/>
        </w:rPr>
        <w:t>, which we go on to explain in more detail</w:t>
      </w:r>
      <w:r w:rsidRPr="00FF6F6C">
        <w:rPr>
          <w:rFonts w:cstheme="minorHAnsi"/>
          <w:sz w:val="24"/>
          <w:szCs w:val="24"/>
        </w:rPr>
        <w:t>:</w:t>
      </w:r>
    </w:p>
    <w:p w14:paraId="3689CCF0" w14:textId="32D9B368" w:rsidR="0005279C" w:rsidRPr="00A4438A" w:rsidRDefault="0005279C" w:rsidP="00CF2D5B">
      <w:pPr>
        <w:pStyle w:val="ListParagraph"/>
        <w:numPr>
          <w:ilvl w:val="0"/>
          <w:numId w:val="29"/>
        </w:numPr>
        <w:spacing w:after="120" w:line="276" w:lineRule="auto"/>
        <w:jc w:val="both"/>
        <w:rPr>
          <w:rFonts w:cstheme="minorHAnsi"/>
          <w:sz w:val="24"/>
          <w:szCs w:val="24"/>
        </w:rPr>
      </w:pPr>
      <w:r w:rsidRPr="00A4438A">
        <w:rPr>
          <w:rFonts w:cstheme="minorHAnsi"/>
          <w:sz w:val="24"/>
          <w:szCs w:val="24"/>
        </w:rPr>
        <w:t xml:space="preserve">Sustainability is a </w:t>
      </w:r>
      <w:r w:rsidRPr="00A4438A">
        <w:rPr>
          <w:rFonts w:cstheme="minorHAnsi"/>
          <w:b/>
          <w:bCs/>
          <w:sz w:val="24"/>
          <w:szCs w:val="24"/>
        </w:rPr>
        <w:t>broad requirement</w:t>
      </w:r>
      <w:r w:rsidRPr="00A4438A">
        <w:rPr>
          <w:rFonts w:cstheme="minorHAnsi"/>
          <w:sz w:val="24"/>
          <w:szCs w:val="24"/>
        </w:rPr>
        <w:t xml:space="preserve"> that should be applied to all aspects of buildings and their </w:t>
      </w:r>
      <w:proofErr w:type="gramStart"/>
      <w:r w:rsidRPr="00A4438A">
        <w:rPr>
          <w:rFonts w:cstheme="minorHAnsi"/>
          <w:sz w:val="24"/>
          <w:szCs w:val="24"/>
        </w:rPr>
        <w:t>design</w:t>
      </w:r>
      <w:proofErr w:type="gramEnd"/>
    </w:p>
    <w:p w14:paraId="2F6EBE39" w14:textId="1AA441BC" w:rsidR="0005279C" w:rsidRPr="00A4438A" w:rsidRDefault="0005279C" w:rsidP="00CF2D5B">
      <w:pPr>
        <w:pStyle w:val="ListParagraph"/>
        <w:numPr>
          <w:ilvl w:val="0"/>
          <w:numId w:val="29"/>
        </w:numPr>
        <w:spacing w:after="120" w:line="276" w:lineRule="auto"/>
        <w:jc w:val="both"/>
        <w:rPr>
          <w:rFonts w:cstheme="minorHAnsi"/>
          <w:sz w:val="24"/>
          <w:szCs w:val="24"/>
        </w:rPr>
      </w:pPr>
      <w:r w:rsidRPr="00A4438A">
        <w:rPr>
          <w:rFonts w:cstheme="minorHAnsi"/>
          <w:sz w:val="24"/>
          <w:szCs w:val="24"/>
        </w:rPr>
        <w:t xml:space="preserve">Sustainability requires a more </w:t>
      </w:r>
      <w:r w:rsidRPr="00A4438A">
        <w:rPr>
          <w:rFonts w:cstheme="minorHAnsi"/>
          <w:b/>
          <w:bCs/>
          <w:sz w:val="24"/>
          <w:szCs w:val="24"/>
        </w:rPr>
        <w:t>fundamental change in the approach</w:t>
      </w:r>
      <w:r w:rsidRPr="00A4438A">
        <w:rPr>
          <w:rFonts w:cstheme="minorHAnsi"/>
          <w:sz w:val="24"/>
          <w:szCs w:val="24"/>
        </w:rPr>
        <w:t xml:space="preserve"> to </w:t>
      </w:r>
      <w:proofErr w:type="gramStart"/>
      <w:r w:rsidRPr="00A4438A">
        <w:rPr>
          <w:rFonts w:cstheme="minorHAnsi"/>
          <w:sz w:val="24"/>
          <w:szCs w:val="24"/>
        </w:rPr>
        <w:t>education</w:t>
      </w:r>
      <w:proofErr w:type="gramEnd"/>
    </w:p>
    <w:p w14:paraId="17F9A10B" w14:textId="45C29D04" w:rsidR="009B2BD5" w:rsidRPr="00FF6F6C" w:rsidRDefault="00D5711B" w:rsidP="00CF2D5B">
      <w:pPr>
        <w:pStyle w:val="ListParagraph"/>
        <w:numPr>
          <w:ilvl w:val="0"/>
          <w:numId w:val="29"/>
        </w:numPr>
        <w:spacing w:after="120" w:line="276" w:lineRule="auto"/>
        <w:jc w:val="both"/>
        <w:rPr>
          <w:rFonts w:cstheme="minorHAnsi"/>
          <w:sz w:val="24"/>
          <w:szCs w:val="24"/>
        </w:rPr>
      </w:pPr>
      <w:r w:rsidRPr="00A4438A">
        <w:rPr>
          <w:rFonts w:cstheme="minorHAnsi"/>
          <w:sz w:val="24"/>
          <w:szCs w:val="24"/>
        </w:rPr>
        <w:t xml:space="preserve">The guidance should be more </w:t>
      </w:r>
      <w:r w:rsidRPr="00A4438A">
        <w:rPr>
          <w:rFonts w:cstheme="minorHAnsi"/>
          <w:b/>
          <w:bCs/>
          <w:sz w:val="24"/>
          <w:szCs w:val="24"/>
        </w:rPr>
        <w:t>specific</w:t>
      </w:r>
      <w:r w:rsidRPr="00A4438A">
        <w:rPr>
          <w:rFonts w:cstheme="minorHAnsi"/>
          <w:sz w:val="24"/>
          <w:szCs w:val="24"/>
        </w:rPr>
        <w:t xml:space="preserve"> about the requirements</w:t>
      </w:r>
      <w:r w:rsidR="00F55091" w:rsidRPr="00A4438A">
        <w:rPr>
          <w:rFonts w:cstheme="minorHAnsi"/>
          <w:sz w:val="24"/>
          <w:szCs w:val="24"/>
        </w:rPr>
        <w:t xml:space="preserve"> and </w:t>
      </w:r>
      <w:r w:rsidR="0005279C" w:rsidRPr="00A4438A">
        <w:rPr>
          <w:rFonts w:cstheme="minorHAnsi"/>
          <w:sz w:val="24"/>
          <w:szCs w:val="24"/>
        </w:rPr>
        <w:t xml:space="preserve">should </w:t>
      </w:r>
      <w:r w:rsidR="00F55091" w:rsidRPr="00A4438A">
        <w:rPr>
          <w:rFonts w:cstheme="minorHAnsi"/>
          <w:sz w:val="24"/>
          <w:szCs w:val="24"/>
        </w:rPr>
        <w:t xml:space="preserve">go so far as to </w:t>
      </w:r>
      <w:r w:rsidR="0005279C" w:rsidRPr="00A4438A">
        <w:rPr>
          <w:rFonts w:cstheme="minorHAnsi"/>
          <w:sz w:val="24"/>
          <w:szCs w:val="24"/>
        </w:rPr>
        <w:t xml:space="preserve">set </w:t>
      </w:r>
      <w:r w:rsidR="0005279C" w:rsidRPr="00A4438A">
        <w:rPr>
          <w:rFonts w:cstheme="minorHAnsi"/>
          <w:b/>
          <w:bCs/>
          <w:sz w:val="24"/>
          <w:szCs w:val="24"/>
        </w:rPr>
        <w:t>targets</w:t>
      </w:r>
      <w:r w:rsidR="00F55091" w:rsidRPr="00A4438A">
        <w:rPr>
          <w:rFonts w:cstheme="minorHAnsi"/>
          <w:b/>
          <w:bCs/>
          <w:sz w:val="24"/>
          <w:szCs w:val="24"/>
        </w:rPr>
        <w:t xml:space="preserve"> </w:t>
      </w:r>
      <w:r w:rsidR="00F55091" w:rsidRPr="00A4438A">
        <w:rPr>
          <w:rFonts w:cstheme="minorHAnsi"/>
          <w:sz w:val="24"/>
          <w:szCs w:val="24"/>
        </w:rPr>
        <w:t xml:space="preserve">for the </w:t>
      </w:r>
      <w:r w:rsidR="00EC49BD">
        <w:rPr>
          <w:rFonts w:cstheme="minorHAnsi"/>
          <w:sz w:val="24"/>
          <w:szCs w:val="24"/>
        </w:rPr>
        <w:t>skills</w:t>
      </w:r>
      <w:r w:rsidR="00F55091" w:rsidRPr="00A4438A">
        <w:rPr>
          <w:rFonts w:cstheme="minorHAnsi"/>
          <w:sz w:val="24"/>
          <w:szCs w:val="24"/>
        </w:rPr>
        <w:t xml:space="preserve"> and understanding of </w:t>
      </w:r>
      <w:proofErr w:type="gramStart"/>
      <w:r w:rsidR="00F55091" w:rsidRPr="00A4438A">
        <w:rPr>
          <w:rFonts w:cstheme="minorHAnsi"/>
          <w:sz w:val="24"/>
          <w:szCs w:val="24"/>
        </w:rPr>
        <w:t>architects</w:t>
      </w:r>
      <w:proofErr w:type="gramEnd"/>
    </w:p>
    <w:p w14:paraId="1B1F22AF" w14:textId="7BFA14F6" w:rsidR="00D5711B" w:rsidRPr="00A4438A" w:rsidRDefault="00D5711B"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Many groups raised the importance of the guidance but suggested that further action needed to be taken. Some respondents suggested that whilst the guidance was useful, its application of sustainability </w:t>
      </w:r>
      <w:r w:rsidRPr="005D4BE3">
        <w:rPr>
          <w:rFonts w:cstheme="minorHAnsi"/>
          <w:sz w:val="24"/>
          <w:szCs w:val="24"/>
        </w:rPr>
        <w:t>was too narrow. These respondents</w:t>
      </w:r>
      <w:r w:rsidRPr="00A4438A">
        <w:rPr>
          <w:rFonts w:cstheme="minorHAnsi"/>
          <w:sz w:val="24"/>
          <w:szCs w:val="24"/>
        </w:rPr>
        <w:t xml:space="preserve"> urged ARB to take a broader approach and used the guidance to make clear that sustainability could not be limited to specific aspects of design or knowledge</w:t>
      </w:r>
      <w:r w:rsidR="00452B0C" w:rsidRPr="00A4438A">
        <w:rPr>
          <w:rFonts w:cstheme="minorHAnsi"/>
          <w:sz w:val="24"/>
          <w:szCs w:val="24"/>
        </w:rPr>
        <w:t xml:space="preserve"> such as building physics and construction technologies</w:t>
      </w:r>
      <w:r w:rsidRPr="00A4438A">
        <w:rPr>
          <w:rFonts w:cstheme="minorHAnsi"/>
          <w:sz w:val="24"/>
          <w:szCs w:val="24"/>
        </w:rPr>
        <w:t>.</w:t>
      </w:r>
    </w:p>
    <w:p w14:paraId="30B7088D" w14:textId="6C398DF4" w:rsidR="002D5A7E" w:rsidRPr="00A4438A" w:rsidRDefault="002D5A7E" w:rsidP="00CF2D5B">
      <w:pPr>
        <w:spacing w:after="0" w:line="240" w:lineRule="auto"/>
        <w:jc w:val="both"/>
        <w:rPr>
          <w:rFonts w:cstheme="minorHAnsi"/>
          <w:sz w:val="24"/>
          <w:szCs w:val="24"/>
        </w:rPr>
      </w:pPr>
      <w:r w:rsidRPr="00A4438A">
        <w:rPr>
          <w:rFonts w:cstheme="minorHAnsi"/>
          <w:noProof/>
          <w:sz w:val="24"/>
          <w:szCs w:val="24"/>
        </w:rPr>
        <w:lastRenderedPageBreak/>
        <mc:AlternateContent>
          <mc:Choice Requires="wps">
            <w:drawing>
              <wp:anchor distT="0" distB="0" distL="114300" distR="114300" simplePos="0" relativeHeight="251669504" behindDoc="0" locked="0" layoutInCell="1" allowOverlap="1" wp14:anchorId="5233ADD8" wp14:editId="5F53403E">
                <wp:simplePos x="0" y="0"/>
                <wp:positionH relativeFrom="column">
                  <wp:posOffset>0</wp:posOffset>
                </wp:positionH>
                <wp:positionV relativeFrom="paragraph">
                  <wp:posOffset>368935</wp:posOffset>
                </wp:positionV>
                <wp:extent cx="5648960" cy="975995"/>
                <wp:effectExtent l="285750" t="0" r="27940" b="14605"/>
                <wp:wrapTopAndBottom/>
                <wp:docPr id="9" name="Speech Bubble: Rectangle with Corners Rounded 9"/>
                <wp:cNvGraphicFramePr/>
                <a:graphic xmlns:a="http://schemas.openxmlformats.org/drawingml/2006/main">
                  <a:graphicData uri="http://schemas.microsoft.com/office/word/2010/wordprocessingShape">
                    <wps:wsp>
                      <wps:cNvSpPr/>
                      <wps:spPr>
                        <a:xfrm>
                          <a:off x="0" y="0"/>
                          <a:ext cx="5648960" cy="975995"/>
                        </a:xfrm>
                        <a:prstGeom prst="wedgeRoundRectCallout">
                          <a:avLst>
                            <a:gd name="adj1" fmla="val -54671"/>
                            <a:gd name="adj2" fmla="val 45292"/>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F1D0E" w14:textId="77777777" w:rsidR="002D5A7E" w:rsidRPr="004A117E" w:rsidRDefault="002D5A7E" w:rsidP="002D5A7E">
                            <w:pPr>
                              <w:spacing w:after="0" w:line="240" w:lineRule="auto"/>
                              <w:rPr>
                                <w:rFonts w:cstheme="minorHAnsi"/>
                                <w:sz w:val="24"/>
                                <w:szCs w:val="24"/>
                              </w:rPr>
                            </w:pPr>
                            <w:r w:rsidRPr="004A117E">
                              <w:rPr>
                                <w:rFonts w:ascii="Calibri" w:hAnsi="Calibri" w:cs="Calibri"/>
                                <w:color w:val="000000"/>
                                <w:sz w:val="24"/>
                                <w:szCs w:val="24"/>
                              </w:rPr>
                              <w:t>“It is critical that Sustainability is not restricted to building physics and construction technologies, it must involve a fundamental change in focus for architectural education.”</w:t>
                            </w:r>
                          </w:p>
                          <w:p w14:paraId="01FC6394" w14:textId="1FC0B828" w:rsidR="002D5A7E" w:rsidRPr="004A117E" w:rsidRDefault="002D5A7E" w:rsidP="002D5A7E">
                            <w:pPr>
                              <w:spacing w:after="0" w:line="240" w:lineRule="auto"/>
                              <w:rPr>
                                <w:rFonts w:cstheme="minorHAnsi"/>
                                <w:b/>
                                <w:bCs/>
                                <w:sz w:val="24"/>
                                <w:szCs w:val="24"/>
                              </w:rPr>
                            </w:pPr>
                            <w:r w:rsidRPr="004A117E">
                              <w:rPr>
                                <w:rFonts w:ascii="Calibri" w:eastAsia="Times New Roman" w:hAnsi="Calibri" w:cs="Calibri"/>
                                <w:b/>
                                <w:bCs/>
                                <w:i/>
                                <w:iCs/>
                                <w:color w:val="000000"/>
                                <w:sz w:val="24"/>
                                <w:szCs w:val="24"/>
                                <w:lang w:eastAsia="en-GB"/>
                              </w:rPr>
                              <w:t>Architects Declare UK</w:t>
                            </w:r>
                            <w:r w:rsidRPr="004A117E">
                              <w:rPr>
                                <w:rFonts w:ascii="Calibri" w:eastAsia="Times New Roman" w:hAnsi="Calibri" w:cs="Calibri"/>
                                <w:b/>
                                <w:bCs/>
                                <w:color w:val="000000"/>
                                <w:sz w:val="24"/>
                                <w:szCs w:val="24"/>
                                <w:lang w:eastAsia="en-GB"/>
                              </w:rPr>
                              <w:t xml:space="preserve"> and </w:t>
                            </w:r>
                            <w:r w:rsidRPr="004A117E">
                              <w:rPr>
                                <w:rFonts w:ascii="Calibri" w:eastAsia="Times New Roman" w:hAnsi="Calibri" w:cs="Calibri"/>
                                <w:b/>
                                <w:bCs/>
                                <w:i/>
                                <w:iCs/>
                                <w:color w:val="000000"/>
                                <w:sz w:val="24"/>
                                <w:szCs w:val="24"/>
                                <w:lang w:eastAsia="en-GB"/>
                              </w:rPr>
                              <w:t>Architects Climate Action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3ADD8" id="Speech Bubble: Rectangle with Corners Rounded 9" o:spid="_x0000_s1029" type="#_x0000_t62" style="position:absolute;left:0;text-align:left;margin-left:0;margin-top:29.05pt;width:444.8pt;height:7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FT+AIAAG0GAAAOAAAAZHJzL2Uyb0RvYy54bWysVW1v2jAQ/j5p/8Hy9zZAeWlQQ8WoOk2q&#10;WlQ69bNxziSTY3u2IbBfv7OTAFurTZrWD64vd/f47rkXbm73lSQ7sK7UKqP9yx4loLjOS7XJ6NeX&#10;+4trSpxnKmdSK8joARy9nX38cFObKQx0oWUOliCIctPaZLTw3kyTxPECKuYutQGFSqFtxTyKdpPk&#10;ltWIXslk0OuNk1rb3FjNwTn8etco6SziCwHcPwnhwBOZUYzNx9PGcx3OZHbDphvLTFHyNgz2D1FU&#10;rFT46BHqjnlGtrZ8A1WV3Gqnhb/kukq0ECWHmANm0+/9ls2qYAZiLkiOM0ea3P+D5Y+7pSVlntGU&#10;EsUqLNHKAPCCfNqu1xKm5Bk5ZGojgdSlL8hCW4XlJs96q3LISRoorI2bItLKLG0rObwGPvbCVuE/&#10;Zkr2kfbDkXbYe8Lx42g8vE7HWB2OunQyStNRAE1O3sY6/xl0RcIlozXkG4gBhOAWTEq99ZF+tntw&#10;PtYhb7Nh+bc+JaKSWNYdk+RiNBxP+m3dz4wG50bD0SAdvLW5Orfpj8fjSRtn+yxG3EUaYnBalvl9&#10;KWUUQkfDQlqCUWR0vYkxoMcvVlL9zZFxDsoP24fPnBEqeCehFg378eYPEgKmVM8gsNDI9yBSFUfs&#10;FFCD229UBcuhiXPUw7/usS6FWJsIGJAFZnjEbgE6ywakw26K2toHV4gTenTu/SmwxvnoEV/Wyh+d&#10;q1Jp+x6A9B3VorHvSGqoCSz5/Xofh+AqpBq+rHV+wMGwutkYzvD7EnvvgTm/ZBZ7CdsV155/wkNI&#10;XWdUtzdKCm1/vPc92OPkopaSGldORt33LbNAifyicKbT/nAYdlQUhqPJAAV7rlmfa9S2WmjsJOxu&#10;jC5eg72X3VVYXb3idpyHV1HFFMe3M8q97YSFb1Yh7lcO83k0w71kmH9QK8MDeOA5NPXL/pVZ0w6g&#10;x9F91N16YtPY/02BTrbBU+n51mtR+qA88doKuNNiK7X7NyzNczlanX4lZj8BAAD//wMAUEsDBBQA&#10;BgAIAAAAIQDIHRmy3AAAAAcBAAAPAAAAZHJzL2Rvd25yZXYueG1sTI9PS8QwFMTvgt8hPMGbm3bF&#10;GmvTpQjiUXYtntPmbVO3eSlN+sdvbzzpcZhh5jfFYbMDW3DyvSMJ6S4BhtQ63VMnof54vRPAfFCk&#10;1eAIJXyjh0N5fVWoXLuVjricQsdiCflcSTAhjDnnvjVold+5ESl6ZzdZFaKcOq4ntcZyO/B9kmTc&#10;qp7iglEjvhhsL6fZSrg8rlld3Wdfb2Zp+/mzfm+q41nK25utegYWcAt/YfjFj+hQRqbGzaQ9GyTE&#10;I0HCg0iBRVeIpwxYI2GfpgJ4WfD//OUPAAAA//8DAFBLAQItABQABgAIAAAAIQC2gziS/gAAAOEB&#10;AAATAAAAAAAAAAAAAAAAAAAAAABbQ29udGVudF9UeXBlc10ueG1sUEsBAi0AFAAGAAgAAAAhADj9&#10;If/WAAAAlAEAAAsAAAAAAAAAAAAAAAAALwEAAF9yZWxzLy5yZWxzUEsBAi0AFAAGAAgAAAAhAEcn&#10;wVP4AgAAbQYAAA4AAAAAAAAAAAAAAAAALgIAAGRycy9lMm9Eb2MueG1sUEsBAi0AFAAGAAgAAAAh&#10;AMgdGbLcAAAABwEAAA8AAAAAAAAAAAAAAAAAUgUAAGRycy9kb3ducmV2LnhtbFBLBQYAAAAABAAE&#10;APMAAABbBgAAAAA=&#10;" adj="-1009,20583" fillcolor="white [3212]" strokecolor="#ffc000 [3207]" strokeweight="1pt">
                <v:textbox>
                  <w:txbxContent>
                    <w:p w14:paraId="7C9F1D0E" w14:textId="77777777" w:rsidR="002D5A7E" w:rsidRPr="004A117E" w:rsidRDefault="002D5A7E" w:rsidP="002D5A7E">
                      <w:pPr>
                        <w:spacing w:after="0" w:line="240" w:lineRule="auto"/>
                        <w:rPr>
                          <w:rFonts w:cstheme="minorHAnsi"/>
                          <w:sz w:val="24"/>
                          <w:szCs w:val="24"/>
                        </w:rPr>
                      </w:pPr>
                      <w:r w:rsidRPr="004A117E">
                        <w:rPr>
                          <w:rFonts w:ascii="Calibri" w:hAnsi="Calibri" w:cs="Calibri"/>
                          <w:color w:val="000000"/>
                          <w:sz w:val="24"/>
                          <w:szCs w:val="24"/>
                        </w:rPr>
                        <w:t>“It is critical that Sustainability is not restricted to building physics and construction technologies, it must involve a fundamental change in focus for architectural education.”</w:t>
                      </w:r>
                    </w:p>
                    <w:p w14:paraId="01FC6394" w14:textId="1FC0B828" w:rsidR="002D5A7E" w:rsidRPr="004A117E" w:rsidRDefault="002D5A7E" w:rsidP="002D5A7E">
                      <w:pPr>
                        <w:spacing w:after="0" w:line="240" w:lineRule="auto"/>
                        <w:rPr>
                          <w:rFonts w:cstheme="minorHAnsi"/>
                          <w:b/>
                          <w:bCs/>
                          <w:sz w:val="24"/>
                          <w:szCs w:val="24"/>
                        </w:rPr>
                      </w:pPr>
                      <w:r w:rsidRPr="004A117E">
                        <w:rPr>
                          <w:rFonts w:ascii="Calibri" w:eastAsia="Times New Roman" w:hAnsi="Calibri" w:cs="Calibri"/>
                          <w:b/>
                          <w:bCs/>
                          <w:i/>
                          <w:iCs/>
                          <w:color w:val="000000"/>
                          <w:sz w:val="24"/>
                          <w:szCs w:val="24"/>
                          <w:lang w:eastAsia="en-GB"/>
                        </w:rPr>
                        <w:t>Architects Declare UK</w:t>
                      </w:r>
                      <w:r w:rsidRPr="004A117E">
                        <w:rPr>
                          <w:rFonts w:ascii="Calibri" w:eastAsia="Times New Roman" w:hAnsi="Calibri" w:cs="Calibri"/>
                          <w:b/>
                          <w:bCs/>
                          <w:color w:val="000000"/>
                          <w:sz w:val="24"/>
                          <w:szCs w:val="24"/>
                          <w:lang w:eastAsia="en-GB"/>
                        </w:rPr>
                        <w:t xml:space="preserve"> and </w:t>
                      </w:r>
                      <w:r w:rsidRPr="004A117E">
                        <w:rPr>
                          <w:rFonts w:ascii="Calibri" w:eastAsia="Times New Roman" w:hAnsi="Calibri" w:cs="Calibri"/>
                          <w:b/>
                          <w:bCs/>
                          <w:i/>
                          <w:iCs/>
                          <w:color w:val="000000"/>
                          <w:sz w:val="24"/>
                          <w:szCs w:val="24"/>
                          <w:lang w:eastAsia="en-GB"/>
                        </w:rPr>
                        <w:t>Architects Climate Action Network</w:t>
                      </w:r>
                    </w:p>
                  </w:txbxContent>
                </v:textbox>
                <w10:wrap type="topAndBottom"/>
              </v:shape>
            </w:pict>
          </mc:Fallback>
        </mc:AlternateContent>
      </w:r>
    </w:p>
    <w:p w14:paraId="58190793" w14:textId="4F25B41A" w:rsidR="002D5A7E" w:rsidRPr="00A4438A" w:rsidRDefault="002D5A7E" w:rsidP="00CF2D5B">
      <w:pPr>
        <w:spacing w:after="0" w:line="240" w:lineRule="auto"/>
        <w:jc w:val="both"/>
        <w:rPr>
          <w:rFonts w:cstheme="minorHAnsi"/>
          <w:sz w:val="24"/>
          <w:szCs w:val="24"/>
        </w:rPr>
      </w:pPr>
    </w:p>
    <w:p w14:paraId="03FA2E83" w14:textId="168DBCC7" w:rsidR="00B97825" w:rsidRDefault="00AA7A07" w:rsidP="00CF2D5B">
      <w:pPr>
        <w:spacing w:after="0" w:line="240" w:lineRule="auto"/>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698176" behindDoc="0" locked="0" layoutInCell="1" allowOverlap="1" wp14:anchorId="7C3B26DB" wp14:editId="044E8B16">
                <wp:simplePos x="0" y="0"/>
                <wp:positionH relativeFrom="margin">
                  <wp:posOffset>0</wp:posOffset>
                </wp:positionH>
                <wp:positionV relativeFrom="paragraph">
                  <wp:posOffset>185420</wp:posOffset>
                </wp:positionV>
                <wp:extent cx="5287010" cy="1000125"/>
                <wp:effectExtent l="0" t="0" r="466090" b="28575"/>
                <wp:wrapTopAndBottom/>
                <wp:docPr id="13" name="Speech Bubble: Rectangle with Corners Rounded 13"/>
                <wp:cNvGraphicFramePr/>
                <a:graphic xmlns:a="http://schemas.openxmlformats.org/drawingml/2006/main">
                  <a:graphicData uri="http://schemas.microsoft.com/office/word/2010/wordprocessingShape">
                    <wps:wsp>
                      <wps:cNvSpPr/>
                      <wps:spPr>
                        <a:xfrm>
                          <a:off x="0" y="0"/>
                          <a:ext cx="5287010" cy="1000125"/>
                        </a:xfrm>
                        <a:prstGeom prst="wedgeRoundRectCallout">
                          <a:avLst>
                            <a:gd name="adj1" fmla="val 57489"/>
                            <a:gd name="adj2" fmla="val 48241"/>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FE9D21" w14:textId="77777777" w:rsidR="00AA7A07" w:rsidRPr="004A117E" w:rsidRDefault="00AA7A07" w:rsidP="00AA7A07">
                            <w:pPr>
                              <w:spacing w:after="0" w:line="240" w:lineRule="auto"/>
                              <w:rPr>
                                <w:rFonts w:cstheme="minorHAnsi"/>
                                <w:sz w:val="24"/>
                                <w:szCs w:val="24"/>
                              </w:rPr>
                            </w:pPr>
                            <w:r w:rsidRPr="004A117E">
                              <w:rPr>
                                <w:rFonts w:ascii="Calibri" w:eastAsia="Times New Roman" w:hAnsi="Calibri" w:cs="Calibri"/>
                                <w:color w:val="000000"/>
                                <w:sz w:val="24"/>
                                <w:szCs w:val="24"/>
                                <w:lang w:eastAsia="en-GB"/>
                              </w:rPr>
                              <w:t>“We need to question the emphasis and weight given to different strands of sustainability - only a limited theme is explored in depth and emphasised in the current guidance, the technical perspective.”</w:t>
                            </w:r>
                          </w:p>
                          <w:p w14:paraId="1FDEAF71" w14:textId="77777777" w:rsidR="00AA7A07" w:rsidRPr="004A117E" w:rsidRDefault="00AA7A07" w:rsidP="00AA7A07">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Eva Sopeoglou, Academic (registered architect)</w:t>
                            </w:r>
                          </w:p>
                          <w:p w14:paraId="3CFD3B39" w14:textId="77777777" w:rsidR="00AA7A07" w:rsidRPr="004A117E" w:rsidRDefault="00AA7A07" w:rsidP="00AA7A07">
                            <w:pPr>
                              <w:spacing w:after="0" w:line="240" w:lineRule="auto"/>
                              <w:rPr>
                                <w:rFonts w:cstheme="minorHAnsi"/>
                                <w:b/>
                                <w:bCs/>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26DB" id="Speech Bubble: Rectangle with Corners Rounded 13" o:spid="_x0000_s1030" type="#_x0000_t62" style="position:absolute;left:0;text-align:left;margin-left:0;margin-top:14.6pt;width:416.3pt;height:7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wH+AIAAG8GAAAOAAAAZHJzL2Uyb0RvYy54bWysVdtu2zAMfR+wfxD0vtrOcmtQp8hSdBhQ&#10;tEXToc+KLMUeZFGTlDjZ14+S7SRbiw0Y9qKIJnlEHl5ydb2vFdkJ6yrQOc0uUkqE5lBUepPTr8+3&#10;H6aUOM90wRRokdODcPR6/v7dVWNmYgAlqEJYgiDazRqT09J7M0sSx0tRM3cBRmhUSrA18yjaTVJY&#10;1iB6rZJBmo6TBmxhLHDhHH69aZV0HvGlFNw/SOmEJyqnGJuPp43nOpzJ/IrNNpaZsuJdGOwfoqhZ&#10;pfHRI9QN84xsbfUKqq64BQfSX3CoE5Cy4iLmgNlk6W/ZrEpmRMwFyXHmSJP7f7D8fvdoSVVg7T5S&#10;olmNNVoZIXhJPm3XayVm5AlJZHqjBGkqX5IlWI31Jk+w1YUoCPohiY1xM8RamUfbSQ6vgZG9tHX4&#10;xVzJPhJ/OBIv9p5w/DgaTCeYPiUcdVmaptlgFFCTk7uxzn8WUJNwyWkjio2IIYTwlkwp2PpYAba7&#10;cz6WoujyYcW3jBJZK6zsjikymgynl13lz2wG5zbD6WCYvbZBjk442Xg8nnRhdq9iwH2gIQQHqipu&#10;K6WiEHpaLJUlGERO15uIjx6/WCn9N0fGudB+2D185oxQwTsJtWjZjzd/UCJgKv0kJJYa+R5EpuKQ&#10;nQJqcbNWVbJCtHGOsBxxTkKkfQqxNBEwIEvM8IjdAfSWLUiP3da0sw+uIs7o0Tn9U2Ct89Ejvgza&#10;H53rSoN9C0D5nmrZ2vcktdQElvx+vY9jEHkNX9ZQHHA0LLQ7wxl+W2Hr3THnH5nFVsJ2xcXnH/CQ&#10;CpqcQnejpAT7463vwR5nF7WUNLh0cuq+b5kVlKgvGqf6MhsOw5aKwnA0GaBgzzXrc43e1kvATsLm&#10;xujiNdh71V+lhfoF9+MivIoqpjm+nVPubS8sfbsMccNysVhEM9xMhvk7vTI8gAeeQ1M/71+YNd38&#10;eRzde+gXFJvF/m8LdLINnhoWWw+y8kF54rUTcKvFVuo2cFib53K0Ov1PzH8CAAD//wMAUEsDBBQA&#10;BgAIAAAAIQC9Hwjp3AAAAAcBAAAPAAAAZHJzL2Rvd25yZXYueG1sTI/BTsMwEETvSPyDtUjcqEMq&#10;QhriVAWVI6pauHDbxksSNV6H2G3Tv2c5wXE0o5k35XJyvTrRGDrPBu5nCSji2tuOGwMf7693OagQ&#10;kS32nsnAhQIsq+urEgvrz7yl0y42Sko4FGigjXEotA51Sw7DzA/E4n350WEUOTbajniWctfrNEky&#10;7bBjWWhxoJeW6sPu6AwEvfpcr+fDBr8vh7DY+PgwPr8Zc3szrZ5ARZriXxh+8QUdKmHa+yPboHoD&#10;ciQaSBcpKHHzeZqB2ksszx5BV6X+z1/9AAAA//8DAFBLAQItABQABgAIAAAAIQC2gziS/gAAAOEB&#10;AAATAAAAAAAAAAAAAAAAAAAAAABbQ29udGVudF9UeXBlc10ueG1sUEsBAi0AFAAGAAgAAAAhADj9&#10;If/WAAAAlAEAAAsAAAAAAAAAAAAAAAAALwEAAF9yZWxzLy5yZWxzUEsBAi0AFAAGAAgAAAAhAHmc&#10;vAf4AgAAbwYAAA4AAAAAAAAAAAAAAAAALgIAAGRycy9lMm9Eb2MueG1sUEsBAi0AFAAGAAgAAAAh&#10;AL0fCOncAAAABwEAAA8AAAAAAAAAAAAAAAAAUgUAAGRycy9kb3ducmV2LnhtbFBLBQYAAAAABAAE&#10;APMAAABbBgAAAAA=&#10;" adj="23218,21220" fillcolor="white [3212]" strokecolor="#ffc000 [3207]" strokeweight="1pt">
                <v:textbox>
                  <w:txbxContent>
                    <w:p w14:paraId="01FE9D21" w14:textId="77777777" w:rsidR="00AA7A07" w:rsidRPr="004A117E" w:rsidRDefault="00AA7A07" w:rsidP="00AA7A07">
                      <w:pPr>
                        <w:spacing w:after="0" w:line="240" w:lineRule="auto"/>
                        <w:rPr>
                          <w:rFonts w:cstheme="minorHAnsi"/>
                          <w:sz w:val="24"/>
                          <w:szCs w:val="24"/>
                        </w:rPr>
                      </w:pPr>
                      <w:r w:rsidRPr="004A117E">
                        <w:rPr>
                          <w:rFonts w:ascii="Calibri" w:eastAsia="Times New Roman" w:hAnsi="Calibri" w:cs="Calibri"/>
                          <w:color w:val="000000"/>
                          <w:sz w:val="24"/>
                          <w:szCs w:val="24"/>
                          <w:lang w:eastAsia="en-GB"/>
                        </w:rPr>
                        <w:t>“We need to question the emphasis and weight given to different strands of sustainability - only a limited theme is explored in depth and emphasised in the current guidance, the technical perspective.”</w:t>
                      </w:r>
                    </w:p>
                    <w:p w14:paraId="1FDEAF71" w14:textId="77777777" w:rsidR="00AA7A07" w:rsidRPr="004A117E" w:rsidRDefault="00AA7A07" w:rsidP="00AA7A07">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Eva Sopeoglou, Academic (registered architect)</w:t>
                      </w:r>
                    </w:p>
                    <w:p w14:paraId="3CFD3B39" w14:textId="77777777" w:rsidR="00AA7A07" w:rsidRPr="004A117E" w:rsidRDefault="00AA7A07" w:rsidP="00AA7A07">
                      <w:pPr>
                        <w:spacing w:after="0" w:line="240" w:lineRule="auto"/>
                        <w:rPr>
                          <w:rFonts w:cstheme="minorHAnsi"/>
                          <w:b/>
                          <w:bCs/>
                          <w:i/>
                          <w:iCs/>
                          <w:sz w:val="24"/>
                          <w:szCs w:val="24"/>
                        </w:rPr>
                      </w:pPr>
                    </w:p>
                  </w:txbxContent>
                </v:textbox>
                <w10:wrap type="topAndBottom" anchorx="margin"/>
              </v:shape>
            </w:pict>
          </mc:Fallback>
        </mc:AlternateContent>
      </w:r>
    </w:p>
    <w:p w14:paraId="1D6A1262" w14:textId="77777777" w:rsidR="00B97825" w:rsidRPr="00A4438A" w:rsidRDefault="00B97825" w:rsidP="00CF2D5B">
      <w:pPr>
        <w:spacing w:after="0" w:line="240" w:lineRule="auto"/>
        <w:jc w:val="both"/>
        <w:rPr>
          <w:rFonts w:cstheme="minorHAnsi"/>
          <w:sz w:val="24"/>
          <w:szCs w:val="24"/>
        </w:rPr>
      </w:pPr>
    </w:p>
    <w:p w14:paraId="655616B3" w14:textId="78D1B4D5" w:rsidR="00EA6980" w:rsidRPr="00A4438A" w:rsidRDefault="00D5711B"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 xml:space="preserve">The notion that sustainability should be applied broadly to all aspects of building design was often linked to a further point by respondents, namely that a major shift in the notion of sustainability is </w:t>
      </w:r>
      <w:r w:rsidRPr="005D4BE3">
        <w:rPr>
          <w:rFonts w:cstheme="minorHAnsi"/>
          <w:sz w:val="24"/>
          <w:szCs w:val="24"/>
        </w:rPr>
        <w:t xml:space="preserve">needed throughout education, and indeed in society at large. These respondents </w:t>
      </w:r>
      <w:r w:rsidR="00E8432E">
        <w:rPr>
          <w:rFonts w:cstheme="minorHAnsi"/>
          <w:sz w:val="24"/>
          <w:szCs w:val="24"/>
        </w:rPr>
        <w:t>suggested</w:t>
      </w:r>
      <w:r w:rsidRPr="005D4BE3">
        <w:rPr>
          <w:rFonts w:cstheme="minorHAnsi"/>
          <w:sz w:val="24"/>
          <w:szCs w:val="24"/>
        </w:rPr>
        <w:t xml:space="preserve"> that the urgency of the climate crisis</w:t>
      </w:r>
      <w:r w:rsidRPr="00A4438A">
        <w:rPr>
          <w:rFonts w:cstheme="minorHAnsi"/>
          <w:sz w:val="24"/>
          <w:szCs w:val="24"/>
        </w:rPr>
        <w:t xml:space="preserve"> </w:t>
      </w:r>
      <w:r w:rsidR="00E8432E">
        <w:rPr>
          <w:rFonts w:cstheme="minorHAnsi"/>
          <w:sz w:val="24"/>
          <w:szCs w:val="24"/>
        </w:rPr>
        <w:t>demands</w:t>
      </w:r>
      <w:r w:rsidR="00FA71DD">
        <w:rPr>
          <w:rFonts w:cstheme="minorHAnsi"/>
          <w:sz w:val="24"/>
          <w:szCs w:val="24"/>
        </w:rPr>
        <w:t xml:space="preserve"> </w:t>
      </w:r>
      <w:r w:rsidRPr="00A4438A">
        <w:rPr>
          <w:rFonts w:cstheme="minorHAnsi"/>
          <w:sz w:val="24"/>
          <w:szCs w:val="24"/>
        </w:rPr>
        <w:t xml:space="preserve">an entirely new approach to be embedded throughout architectural education and beyond. </w:t>
      </w:r>
    </w:p>
    <w:p w14:paraId="0AF2B662" w14:textId="5F8395FF" w:rsidR="00AA7A07" w:rsidRDefault="00E8432E" w:rsidP="00CF2D5B">
      <w:pPr>
        <w:spacing w:after="0" w:line="240" w:lineRule="auto"/>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671552" behindDoc="0" locked="0" layoutInCell="1" allowOverlap="1" wp14:anchorId="59544226" wp14:editId="561E4ED9">
                <wp:simplePos x="0" y="0"/>
                <wp:positionH relativeFrom="margin">
                  <wp:align>left</wp:align>
                </wp:positionH>
                <wp:positionV relativeFrom="paragraph">
                  <wp:posOffset>2136140</wp:posOffset>
                </wp:positionV>
                <wp:extent cx="5160010" cy="1728470"/>
                <wp:effectExtent l="0" t="0" r="440690" b="24130"/>
                <wp:wrapTopAndBottom/>
                <wp:docPr id="10" name="Speech Bubble: Rectangle with Corners Rounded 10"/>
                <wp:cNvGraphicFramePr/>
                <a:graphic xmlns:a="http://schemas.openxmlformats.org/drawingml/2006/main">
                  <a:graphicData uri="http://schemas.microsoft.com/office/word/2010/wordprocessingShape">
                    <wps:wsp>
                      <wps:cNvSpPr/>
                      <wps:spPr>
                        <a:xfrm>
                          <a:off x="0" y="0"/>
                          <a:ext cx="5160010" cy="1728470"/>
                        </a:xfrm>
                        <a:prstGeom prst="wedgeRoundRectCallout">
                          <a:avLst>
                            <a:gd name="adj1" fmla="val 57489"/>
                            <a:gd name="adj2" fmla="val 48241"/>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D7F18" w14:textId="5208E92F" w:rsidR="002D5A7E" w:rsidRPr="004A117E" w:rsidRDefault="002D5A7E" w:rsidP="002D5A7E">
                            <w:pPr>
                              <w:spacing w:after="0" w:line="240" w:lineRule="auto"/>
                              <w:rPr>
                                <w:rFonts w:ascii="Calibri" w:hAnsi="Calibri" w:cs="Calibri"/>
                                <w:color w:val="000000"/>
                                <w:sz w:val="24"/>
                                <w:szCs w:val="24"/>
                              </w:rPr>
                            </w:pPr>
                            <w:r w:rsidRPr="004A117E">
                              <w:rPr>
                                <w:rFonts w:ascii="Calibri" w:hAnsi="Calibri" w:cs="Calibri"/>
                                <w:color w:val="000000"/>
                                <w:sz w:val="24"/>
                                <w:szCs w:val="24"/>
                              </w:rPr>
                              <w:t xml:space="preserve">“It is critical that Sustainability is not restricted to building physics and construction technologies, it must involve a fundamental change in focus for architectural </w:t>
                            </w:r>
                            <w:proofErr w:type="gramStart"/>
                            <w:r w:rsidRPr="004A117E">
                              <w:rPr>
                                <w:rFonts w:ascii="Calibri" w:hAnsi="Calibri" w:cs="Calibri"/>
                                <w:color w:val="000000"/>
                                <w:sz w:val="24"/>
                                <w:szCs w:val="24"/>
                              </w:rPr>
                              <w:t>education as a whole</w:t>
                            </w:r>
                            <w:proofErr w:type="gramEnd"/>
                            <w:r w:rsidRPr="004A117E">
                              <w:rPr>
                                <w:rFonts w:ascii="Calibri" w:hAnsi="Calibri" w:cs="Calibri"/>
                                <w:color w:val="000000"/>
                                <w:sz w:val="24"/>
                                <w:szCs w:val="24"/>
                              </w:rPr>
                              <w:t xml:space="preserve">. Currently, the technical </w:t>
                            </w:r>
                            <w:proofErr w:type="gramStart"/>
                            <w:r w:rsidRPr="004A117E">
                              <w:rPr>
                                <w:rFonts w:ascii="Calibri" w:hAnsi="Calibri" w:cs="Calibri"/>
                                <w:color w:val="000000"/>
                                <w:sz w:val="24"/>
                                <w:szCs w:val="24"/>
                              </w:rPr>
                              <w:t>aspects</w:t>
                            </w:r>
                            <w:proofErr w:type="gramEnd"/>
                            <w:r w:rsidRPr="004A117E">
                              <w:rPr>
                                <w:rFonts w:ascii="Calibri" w:hAnsi="Calibri" w:cs="Calibri"/>
                                <w:color w:val="000000"/>
                                <w:sz w:val="24"/>
                                <w:szCs w:val="24"/>
                              </w:rPr>
                              <w:t xml:space="preserve"> of architectural education carries the most, if not all, the responsibility of addressing sustainability. However, sustainability needs to be embedded within the entire curriculum, as broadly as possible, lest it is seen as a mere checkbox amongst other criteria.”</w:t>
                            </w:r>
                          </w:p>
                          <w:p w14:paraId="4BF1A3E8" w14:textId="77777777" w:rsidR="002D5A7E" w:rsidRPr="004A117E" w:rsidRDefault="002D5A7E" w:rsidP="002D5A7E">
                            <w:pPr>
                              <w:spacing w:after="0" w:line="240" w:lineRule="auto"/>
                              <w:rPr>
                                <w:rFonts w:cstheme="minorHAnsi"/>
                                <w:b/>
                                <w:bCs/>
                                <w:i/>
                                <w:iCs/>
                                <w:sz w:val="24"/>
                                <w:szCs w:val="24"/>
                              </w:rPr>
                            </w:pPr>
                            <w:proofErr w:type="spellStart"/>
                            <w:r w:rsidRPr="004A117E">
                              <w:rPr>
                                <w:rFonts w:ascii="Calibri" w:eastAsia="Times New Roman" w:hAnsi="Calibri" w:cs="Calibri"/>
                                <w:b/>
                                <w:bCs/>
                                <w:i/>
                                <w:iCs/>
                                <w:color w:val="000000"/>
                                <w:sz w:val="24"/>
                                <w:szCs w:val="24"/>
                                <w:lang w:eastAsia="en-GB"/>
                              </w:rPr>
                              <w:t>SSoA</w:t>
                            </w:r>
                            <w:proofErr w:type="spellEnd"/>
                            <w:r w:rsidRPr="004A117E">
                              <w:rPr>
                                <w:rFonts w:ascii="Calibri" w:eastAsia="Times New Roman" w:hAnsi="Calibri" w:cs="Calibri"/>
                                <w:b/>
                                <w:bCs/>
                                <w:i/>
                                <w:iCs/>
                                <w:color w:val="000000"/>
                                <w:sz w:val="24"/>
                                <w:szCs w:val="24"/>
                                <w:lang w:eastAsia="en-GB"/>
                              </w:rPr>
                              <w:t xml:space="preserve"> Students for Climate Action</w:t>
                            </w:r>
                          </w:p>
                          <w:p w14:paraId="7759A350" w14:textId="1C9D9D6F" w:rsidR="002D5A7E" w:rsidRPr="00F55091" w:rsidRDefault="002D5A7E" w:rsidP="002D5A7E">
                            <w:pPr>
                              <w:spacing w:after="0" w:line="240" w:lineRule="auto"/>
                              <w:rPr>
                                <w:rFonts w:cstheme="minorHAnsi"/>
                                <w:b/>
                                <w:bCs/>
                                <w:i/>
                                <w:i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4226" id="Speech Bubble: Rectangle with Corners Rounded 10" o:spid="_x0000_s1031" type="#_x0000_t62" style="position:absolute;left:0;text-align:left;margin-left:0;margin-top:168.2pt;width:406.3pt;height:136.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69gIAAG8GAAAOAAAAZHJzL2Uyb0RvYy54bWysVdtu2zAMfR+wfxD0vjrOnEuDOkWWosOA&#10;oi2aDn1WZCr2IEuapMTJvn6UbCfZWmzAsD6ookkekYeXXF3va0l2YF2lVU7TiwEloLguKrXJ6dfn&#10;2w9TSpxnqmBSK8jpARy9nr9/d9WYGQx1qWUBliCIcrPG5LT03sySxPESauYutAGFSqFtzTyKdpMU&#10;ljWIXstkOBiMk0bbwljNwTn8etMq6TziCwHcPwjhwBOZU4zNx9PGcx3OZH7FZhvLTFnxLgz2D1HU&#10;rFL46BHqhnlGtrZ6BVVX3Gqnhb/guk60EBWHmANmkw5+y2ZVMgMxFyTHmSNN7v/B8vvdoyVVgbVD&#10;ehSrsUYrA8BL8mm7XkuYkSckkamNBNJUviRLbRXWmzzprSqgIOiHJDbGzRBrZR5tJzm8Bkb2wtbh&#10;P+ZK9pH4w5F42HvC8eMoHQ8wfUo46tLJcJpNImpycjfW+c+gaxIuOW2g2EAMIYS3ZFLqrY8VYLs7&#10;52Mpii4fVnxLKRG1xMrumCSjSTa97Cp/ZjM8t8mmwyx9bfPx3CYdj8eTYINhdq/irQ80hOC0rIrb&#10;SsoohJ6GpbQEg8jpehPx0eMXK6n+5sg4B+Wz7uEzZ4QK3kmoRct+vPmDhIAp1RMILDXyPYxMxSE7&#10;BdTipq2qZAW0cY4G+Nc/1qcQc46AAVlghkfsDqC3bEF67Jaszj64QpzRo/PgT4G1zkeP+LJW/uhc&#10;V0rbtwCk76kWrX1PUktNYMnv1/s4BqOQaviy1sUBR8Pqdmc4w28rbL075vwjs9hK2K64+PwDHkLq&#10;Jqe6u1FSavvjre/BHmcXtZQ0uHRy6r5vmQVK5BeFU32ZZlnYUlHIRpMhCvZcsz7XqG291NhJ2NwY&#10;XbwGey/7q7C6fsH9uAivooopjm/nlHvbC0vfLkPcsBwWi2iGm8kwf6dWhgfwwHNo6uf9C7Ommz+P&#10;o3uv+wXV9X9boJNt8FR6sfVaVD4oT7x2Am612ErdBg5r81yOVqffiflPAAAA//8DAFBLAwQUAAYA&#10;CAAAACEAXInJIN0AAAAIAQAADwAAAGRycy9kb3ducmV2LnhtbEyPwU7DMBBE70j8g7VI3KjTBqwQ&#10;4lQFlSOqKFy4beMliRqvg+226d9jTvQ4mtHMm2o52UEcyYfesYb5LANB3DjTc6vh8+P1rgARIrLB&#10;wTFpOFOAZX19VWFp3Inf6biNrUglHErU0MU4llKGpiOLYeZG4uR9O28xJulbaTyeUrkd5CLLlLTY&#10;c1rocKSXjpr99mA1BLn6Wq/zcYM/53143Lj44J/ftL69mVZPICJN8T8Mf/gJHerEtHMHNkEMGtKR&#10;qCHP1T2IZBfzhQKx06CyQoGsK3l5oP4FAAD//wMAUEsBAi0AFAAGAAgAAAAhALaDOJL+AAAA4QEA&#10;ABMAAAAAAAAAAAAAAAAAAAAAAFtDb250ZW50X1R5cGVzXS54bWxQSwECLQAUAAYACAAAACEAOP0h&#10;/9YAAACUAQAACwAAAAAAAAAAAAAAAAAvAQAAX3JlbHMvLnJlbHNQSwECLQAUAAYACAAAACEAKYvx&#10;+vYCAABvBgAADgAAAAAAAAAAAAAAAAAuAgAAZHJzL2Uyb0RvYy54bWxQSwECLQAUAAYACAAAACEA&#10;XInJIN0AAAAIAQAADwAAAAAAAAAAAAAAAABQBQAAZHJzL2Rvd25yZXYueG1sUEsFBgAAAAAEAAQA&#10;8wAAAFoGAAAAAA==&#10;" adj="23218,21220" fillcolor="white [3212]" strokecolor="#ffc000 [3207]" strokeweight="1pt">
                <v:textbox>
                  <w:txbxContent>
                    <w:p w14:paraId="65AD7F18" w14:textId="5208E92F" w:rsidR="002D5A7E" w:rsidRPr="004A117E" w:rsidRDefault="002D5A7E" w:rsidP="002D5A7E">
                      <w:pPr>
                        <w:spacing w:after="0" w:line="240" w:lineRule="auto"/>
                        <w:rPr>
                          <w:rFonts w:ascii="Calibri" w:hAnsi="Calibri" w:cs="Calibri"/>
                          <w:color w:val="000000"/>
                          <w:sz w:val="24"/>
                          <w:szCs w:val="24"/>
                        </w:rPr>
                      </w:pPr>
                      <w:r w:rsidRPr="004A117E">
                        <w:rPr>
                          <w:rFonts w:ascii="Calibri" w:hAnsi="Calibri" w:cs="Calibri"/>
                          <w:color w:val="000000"/>
                          <w:sz w:val="24"/>
                          <w:szCs w:val="24"/>
                        </w:rPr>
                        <w:t xml:space="preserve">“It is critical that Sustainability is not restricted to building physics and construction technologies, it must involve a fundamental change in focus for architectural </w:t>
                      </w:r>
                      <w:proofErr w:type="gramStart"/>
                      <w:r w:rsidRPr="004A117E">
                        <w:rPr>
                          <w:rFonts w:ascii="Calibri" w:hAnsi="Calibri" w:cs="Calibri"/>
                          <w:color w:val="000000"/>
                          <w:sz w:val="24"/>
                          <w:szCs w:val="24"/>
                        </w:rPr>
                        <w:t>education as a whole</w:t>
                      </w:r>
                      <w:proofErr w:type="gramEnd"/>
                      <w:r w:rsidRPr="004A117E">
                        <w:rPr>
                          <w:rFonts w:ascii="Calibri" w:hAnsi="Calibri" w:cs="Calibri"/>
                          <w:color w:val="000000"/>
                          <w:sz w:val="24"/>
                          <w:szCs w:val="24"/>
                        </w:rPr>
                        <w:t xml:space="preserve">. Currently, the technical </w:t>
                      </w:r>
                      <w:proofErr w:type="gramStart"/>
                      <w:r w:rsidRPr="004A117E">
                        <w:rPr>
                          <w:rFonts w:ascii="Calibri" w:hAnsi="Calibri" w:cs="Calibri"/>
                          <w:color w:val="000000"/>
                          <w:sz w:val="24"/>
                          <w:szCs w:val="24"/>
                        </w:rPr>
                        <w:t>aspects</w:t>
                      </w:r>
                      <w:proofErr w:type="gramEnd"/>
                      <w:r w:rsidRPr="004A117E">
                        <w:rPr>
                          <w:rFonts w:ascii="Calibri" w:hAnsi="Calibri" w:cs="Calibri"/>
                          <w:color w:val="000000"/>
                          <w:sz w:val="24"/>
                          <w:szCs w:val="24"/>
                        </w:rPr>
                        <w:t xml:space="preserve"> of architectural education carries the most, if not all, the responsibility of addressing sustainability. However, sustainability needs to be embedded within the entire curriculum, as broadly as possible, lest it is seen as a mere checkbox amongst other criteria.”</w:t>
                      </w:r>
                    </w:p>
                    <w:p w14:paraId="4BF1A3E8" w14:textId="77777777" w:rsidR="002D5A7E" w:rsidRPr="004A117E" w:rsidRDefault="002D5A7E" w:rsidP="002D5A7E">
                      <w:pPr>
                        <w:spacing w:after="0" w:line="240" w:lineRule="auto"/>
                        <w:rPr>
                          <w:rFonts w:cstheme="minorHAnsi"/>
                          <w:b/>
                          <w:bCs/>
                          <w:i/>
                          <w:iCs/>
                          <w:sz w:val="24"/>
                          <w:szCs w:val="24"/>
                        </w:rPr>
                      </w:pPr>
                      <w:proofErr w:type="spellStart"/>
                      <w:r w:rsidRPr="004A117E">
                        <w:rPr>
                          <w:rFonts w:ascii="Calibri" w:eastAsia="Times New Roman" w:hAnsi="Calibri" w:cs="Calibri"/>
                          <w:b/>
                          <w:bCs/>
                          <w:i/>
                          <w:iCs/>
                          <w:color w:val="000000"/>
                          <w:sz w:val="24"/>
                          <w:szCs w:val="24"/>
                          <w:lang w:eastAsia="en-GB"/>
                        </w:rPr>
                        <w:t>SSoA</w:t>
                      </w:r>
                      <w:proofErr w:type="spellEnd"/>
                      <w:r w:rsidRPr="004A117E">
                        <w:rPr>
                          <w:rFonts w:ascii="Calibri" w:eastAsia="Times New Roman" w:hAnsi="Calibri" w:cs="Calibri"/>
                          <w:b/>
                          <w:bCs/>
                          <w:i/>
                          <w:iCs/>
                          <w:color w:val="000000"/>
                          <w:sz w:val="24"/>
                          <w:szCs w:val="24"/>
                          <w:lang w:eastAsia="en-GB"/>
                        </w:rPr>
                        <w:t xml:space="preserve"> Students for Climate Action</w:t>
                      </w:r>
                    </w:p>
                    <w:p w14:paraId="7759A350" w14:textId="1C9D9D6F" w:rsidR="002D5A7E" w:rsidRPr="00F55091" w:rsidRDefault="002D5A7E" w:rsidP="002D5A7E">
                      <w:pPr>
                        <w:spacing w:after="0" w:line="240" w:lineRule="auto"/>
                        <w:rPr>
                          <w:rFonts w:cstheme="minorHAnsi"/>
                          <w:b/>
                          <w:bCs/>
                          <w:i/>
                          <w:iCs/>
                          <w:sz w:val="24"/>
                          <w:szCs w:val="24"/>
                        </w:rPr>
                      </w:pPr>
                    </w:p>
                  </w:txbxContent>
                </v:textbox>
                <w10:wrap type="topAndBottom" anchorx="margin"/>
              </v:shape>
            </w:pict>
          </mc:Fallback>
        </mc:AlternateContent>
      </w:r>
      <w:r w:rsidR="00AA7A07" w:rsidRPr="00A4438A">
        <w:rPr>
          <w:rFonts w:cstheme="minorHAnsi"/>
          <w:noProof/>
          <w:sz w:val="24"/>
          <w:szCs w:val="24"/>
        </w:rPr>
        <mc:AlternateContent>
          <mc:Choice Requires="wps">
            <w:drawing>
              <wp:anchor distT="0" distB="0" distL="114300" distR="114300" simplePos="0" relativeHeight="251696128" behindDoc="0" locked="0" layoutInCell="1" allowOverlap="1" wp14:anchorId="2935A7E3" wp14:editId="0A767779">
                <wp:simplePos x="0" y="0"/>
                <wp:positionH relativeFrom="column">
                  <wp:posOffset>0</wp:posOffset>
                </wp:positionH>
                <wp:positionV relativeFrom="paragraph">
                  <wp:posOffset>185420</wp:posOffset>
                </wp:positionV>
                <wp:extent cx="5648960" cy="1614170"/>
                <wp:effectExtent l="285750" t="0" r="27940" b="24130"/>
                <wp:wrapTopAndBottom/>
                <wp:docPr id="11" name="Speech Bubble: Rectangle with Corners Rounded 11"/>
                <wp:cNvGraphicFramePr/>
                <a:graphic xmlns:a="http://schemas.openxmlformats.org/drawingml/2006/main">
                  <a:graphicData uri="http://schemas.microsoft.com/office/word/2010/wordprocessingShape">
                    <wps:wsp>
                      <wps:cNvSpPr/>
                      <wps:spPr>
                        <a:xfrm>
                          <a:off x="0" y="0"/>
                          <a:ext cx="5648960" cy="1614170"/>
                        </a:xfrm>
                        <a:prstGeom prst="wedgeRoundRectCallout">
                          <a:avLst>
                            <a:gd name="adj1" fmla="val -54671"/>
                            <a:gd name="adj2" fmla="val 45292"/>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EBDCD2" w14:textId="77777777" w:rsidR="00AA7A07" w:rsidRPr="004A117E" w:rsidRDefault="00AA7A07" w:rsidP="00AA7A07">
                            <w:pPr>
                              <w:spacing w:after="0" w:line="240" w:lineRule="auto"/>
                              <w:rPr>
                                <w:rFonts w:cstheme="minorHAnsi"/>
                                <w:color w:val="000000" w:themeColor="text1"/>
                                <w:sz w:val="24"/>
                                <w:szCs w:val="24"/>
                              </w:rPr>
                            </w:pPr>
                            <w:r w:rsidRPr="004A117E">
                              <w:rPr>
                                <w:rFonts w:ascii="Calibri" w:hAnsi="Calibri" w:cs="Calibri"/>
                                <w:color w:val="000000"/>
                                <w:sz w:val="24"/>
                                <w:szCs w:val="24"/>
                              </w:rPr>
                              <w:t>“We are happy that there is a substantial range of key themes and topics addressed in the sustainability guidance. We also believe that the guidance can work alongside and enhance current professional criteria. Our primary concern is that the guidance does not convey the urgency of the climate and ecological emergency enough. We believe that radical change is needed now, and our education needs to be similarly urgent, highly critical, and towards significant cultural transformation.”</w:t>
                            </w:r>
                          </w:p>
                          <w:p w14:paraId="6F833D4D" w14:textId="77777777" w:rsidR="00AA7A07" w:rsidRPr="004A117E" w:rsidRDefault="00AA7A07" w:rsidP="00AA7A07">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Newcastle Students Climate Action Network</w:t>
                            </w:r>
                          </w:p>
                          <w:p w14:paraId="18D3AB16" w14:textId="77777777" w:rsidR="00AA7A07" w:rsidRPr="002D5A7E" w:rsidRDefault="00AA7A07" w:rsidP="00AA7A07">
                            <w:pPr>
                              <w:spacing w:after="0" w:line="240" w:lineRule="auto"/>
                              <w:rPr>
                                <w:rFonts w:cstheme="minorHAns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A7E3" id="Speech Bubble: Rectangle with Corners Rounded 11" o:spid="_x0000_s1032" type="#_x0000_t62" style="position:absolute;left:0;text-align:left;margin-left:0;margin-top:14.6pt;width:444.8pt;height:12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M3+wIAAHAGAAAOAAAAZHJzL2Uyb0RvYy54bWysVd9P2zAQfp+0/8HyO6Tp2gAVKeqKmCYh&#10;QJSJZ9c5N5kc27Pdpt1fv7OTtNmGNmkaD8aXu/t8992PXt/sa0l2YF2lVU7T8xEloLguKrXJ6ZeX&#10;u7NLSpxnqmBSK8jpARy9mb9/d92YGYx1qWUBliCIcrPG5LT03sySxPESaubOtQGFSqFtzTyKdpMU&#10;ljWIXstkPBplSaNtYazm4Bx+vW2VdB7xhQDuH4Vw4InMKcbm42njuQ5nMr9ms41lpqx4Fwb7hyhq&#10;Vil89Ah1yzwjW1v9BlVX3GqnhT/nuk60EBWHmANmk45+yWZVMgMxFyTHmSNN7v/B8ofdkyVVgbVL&#10;KVGsxhqtDAAvycftei1hRp6RRKY2EkhT+ZIstVVYb/Kst6qAgqAfktgYN0OslXmyneTwGhjZC1uH&#10;/5gr2UfiD0fiYe8Jx4/TbHJ5lWF9OOrSLJ2kF7E0ycndWOc/ga5JuOS0gWIDMYQQ3pJJqbc+VoDt&#10;7p2PpSi6fFjxFXMTtcTK7pgkZ9NJdhGjxnoNjMZDo8l0fDXu2mNg82Fok2ZZdhFsMM7uWbz1kYYY&#10;nJZVcVdJGYXQ1LCUlmAUOV1vYgzo8ZOVVH9zZJyD8pPu4YEzQgXvJBSjpT/e/EFCwJTqGQTWGgkf&#10;R6rilJ0CanHTVlWyAto4pyP86x/rU4g5R8CALDDDI3YH0Fu2ID12S1ZnH1whDunRefSnwFrno0d8&#10;WSt/dK4rpe1bANL3VIvWvieppSaw5PfrfZyDLKQavqx1ccDZsLpdGs7wuwp77545/8Qs9hL2K24+&#10;/4iHkLrJqe5ulJTafn/re7DH4UUtJQ1unZy6b1tmgRL5WeFYX6WTSVhTUZhML8Yo2KFmPdSobb3U&#10;2EnY3RhdvAZ7L/ursLp+xQW5CK+iiimOb+eUe9sLS99uQ1yxHBaLaIaryTB/r1aGB/DAc2jql/0r&#10;s6YbQI+z+6D7DdX1f1ugk23wVHqx9VpUPihPvHYCrrXYSt0KDntzKEer0w/F/AcAAAD//wMAUEsD&#10;BBQABgAIAAAAIQBXBxHH3AAAAAcBAAAPAAAAZHJzL2Rvd25yZXYueG1sTI/NTsMwEITvSLyDtUjc&#10;qEOKQprGqSIkxBG1jTg78TZOG6+j2Pnh7TEnOO7MaObb/LCans04us6SgOdNBAypsaqjVkB1fn9K&#10;gTkvScneEgr4RgeH4v4ul5myCx1xPvmWhRJymRSgvR8yzl2j0Ui3sQNS8C52NNKHc2y5GuUSyk3P&#10;4yhKuJEdhQUtB3zT2NxOkxFwe12Sqtwm1w89N930VX3W5fEixOPDWu6BeVz9Xxh+8QM6FIGpthMp&#10;x3oB4REvIN7FwIKbprsEWB2EdPsCvMj5f/7iBwAA//8DAFBLAQItABQABgAIAAAAIQC2gziS/gAA&#10;AOEBAAATAAAAAAAAAAAAAAAAAAAAAABbQ29udGVudF9UeXBlc10ueG1sUEsBAi0AFAAGAAgAAAAh&#10;ADj9If/WAAAAlAEAAAsAAAAAAAAAAAAAAAAALwEAAF9yZWxzLy5yZWxzUEsBAi0AFAAGAAgAAAAh&#10;AK95ozf7AgAAcAYAAA4AAAAAAAAAAAAAAAAALgIAAGRycy9lMm9Eb2MueG1sUEsBAi0AFAAGAAgA&#10;AAAhAFcHEcfcAAAABwEAAA8AAAAAAAAAAAAAAAAAVQUAAGRycy9kb3ducmV2LnhtbFBLBQYAAAAA&#10;BAAEAPMAAABeBgAAAAA=&#10;" adj="-1009,20583" fillcolor="white [3212]" strokecolor="#ffc000 [3207]" strokeweight="1pt">
                <v:textbox>
                  <w:txbxContent>
                    <w:p w14:paraId="2CEBDCD2" w14:textId="77777777" w:rsidR="00AA7A07" w:rsidRPr="004A117E" w:rsidRDefault="00AA7A07" w:rsidP="00AA7A07">
                      <w:pPr>
                        <w:spacing w:after="0" w:line="240" w:lineRule="auto"/>
                        <w:rPr>
                          <w:rFonts w:cstheme="minorHAnsi"/>
                          <w:color w:val="000000" w:themeColor="text1"/>
                          <w:sz w:val="24"/>
                          <w:szCs w:val="24"/>
                        </w:rPr>
                      </w:pPr>
                      <w:r w:rsidRPr="004A117E">
                        <w:rPr>
                          <w:rFonts w:ascii="Calibri" w:hAnsi="Calibri" w:cs="Calibri"/>
                          <w:color w:val="000000"/>
                          <w:sz w:val="24"/>
                          <w:szCs w:val="24"/>
                        </w:rPr>
                        <w:t>“We are happy that there is a substantial range of key themes and topics addressed in the sustainability guidance. We also believe that the guidance can work alongside and enhance current professional criteria. Our primary concern is that the guidance does not convey the urgency of the climate and ecological emergency enough. We believe that radical change is needed now, and our education needs to be similarly urgent, highly critical, and towards significant cultural transformation.”</w:t>
                      </w:r>
                    </w:p>
                    <w:p w14:paraId="6F833D4D" w14:textId="77777777" w:rsidR="00AA7A07" w:rsidRPr="004A117E" w:rsidRDefault="00AA7A07" w:rsidP="00AA7A07">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Newcastle Students Climate Action Network</w:t>
                      </w:r>
                    </w:p>
                    <w:p w14:paraId="18D3AB16" w14:textId="77777777" w:rsidR="00AA7A07" w:rsidRPr="002D5A7E" w:rsidRDefault="00AA7A07" w:rsidP="00AA7A07">
                      <w:pPr>
                        <w:spacing w:after="0" w:line="240" w:lineRule="auto"/>
                        <w:rPr>
                          <w:rFonts w:cstheme="minorHAnsi"/>
                          <w:b/>
                          <w:bCs/>
                          <w:sz w:val="24"/>
                          <w:szCs w:val="24"/>
                        </w:rPr>
                      </w:pPr>
                    </w:p>
                  </w:txbxContent>
                </v:textbox>
                <w10:wrap type="topAndBottom"/>
              </v:shape>
            </w:pict>
          </mc:Fallback>
        </mc:AlternateContent>
      </w:r>
    </w:p>
    <w:p w14:paraId="51F54057" w14:textId="2E4D1DF9" w:rsidR="002D5A7E" w:rsidRPr="00A4438A" w:rsidRDefault="002D5A7E" w:rsidP="00CF2D5B">
      <w:pPr>
        <w:spacing w:after="0" w:line="240" w:lineRule="auto"/>
        <w:jc w:val="both"/>
        <w:rPr>
          <w:rFonts w:cstheme="minorHAnsi"/>
          <w:sz w:val="24"/>
          <w:szCs w:val="24"/>
        </w:rPr>
      </w:pPr>
    </w:p>
    <w:p w14:paraId="7A673202" w14:textId="43662E97" w:rsidR="00D5711B" w:rsidRPr="00A4438A" w:rsidRDefault="00D5711B" w:rsidP="00CF2D5B">
      <w:pPr>
        <w:spacing w:after="0" w:line="240" w:lineRule="auto"/>
        <w:jc w:val="both"/>
        <w:rPr>
          <w:rFonts w:cstheme="minorHAnsi"/>
          <w:sz w:val="24"/>
          <w:szCs w:val="24"/>
        </w:rPr>
      </w:pPr>
    </w:p>
    <w:p w14:paraId="2B7A1687" w14:textId="7D6B4F2F" w:rsidR="002F69A6" w:rsidRDefault="005D4BE3" w:rsidP="00CF2D5B">
      <w:pPr>
        <w:spacing w:after="0" w:line="240" w:lineRule="auto"/>
        <w:jc w:val="both"/>
        <w:rPr>
          <w:rFonts w:cstheme="minorHAnsi"/>
          <w:sz w:val="24"/>
          <w:szCs w:val="24"/>
        </w:rPr>
      </w:pPr>
      <w:r w:rsidRPr="00A4438A">
        <w:rPr>
          <w:rFonts w:cstheme="minorHAnsi"/>
          <w:noProof/>
          <w:sz w:val="24"/>
          <w:szCs w:val="24"/>
        </w:rPr>
        <w:lastRenderedPageBreak/>
        <mc:AlternateContent>
          <mc:Choice Requires="wps">
            <w:drawing>
              <wp:anchor distT="0" distB="0" distL="114300" distR="114300" simplePos="0" relativeHeight="251679744" behindDoc="0" locked="0" layoutInCell="1" allowOverlap="1" wp14:anchorId="00317A62" wp14:editId="7A4FE271">
                <wp:simplePos x="0" y="0"/>
                <wp:positionH relativeFrom="margin">
                  <wp:posOffset>-14288</wp:posOffset>
                </wp:positionH>
                <wp:positionV relativeFrom="paragraph">
                  <wp:posOffset>188595</wp:posOffset>
                </wp:positionV>
                <wp:extent cx="5160010" cy="1314450"/>
                <wp:effectExtent l="0" t="0" r="440690" b="19050"/>
                <wp:wrapTopAndBottom/>
                <wp:docPr id="4" name="Speech Bubble: Rectangle with Corners Rounded 4"/>
                <wp:cNvGraphicFramePr/>
                <a:graphic xmlns:a="http://schemas.openxmlformats.org/drawingml/2006/main">
                  <a:graphicData uri="http://schemas.microsoft.com/office/word/2010/wordprocessingShape">
                    <wps:wsp>
                      <wps:cNvSpPr/>
                      <wps:spPr>
                        <a:xfrm>
                          <a:off x="0" y="0"/>
                          <a:ext cx="5160010" cy="1314450"/>
                        </a:xfrm>
                        <a:prstGeom prst="wedgeRoundRectCallout">
                          <a:avLst>
                            <a:gd name="adj1" fmla="val 57489"/>
                            <a:gd name="adj2" fmla="val 48241"/>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ED52F" w14:textId="1D98264E" w:rsidR="00F11CC8" w:rsidRPr="004A117E" w:rsidRDefault="00F11CC8" w:rsidP="00F11CC8">
                            <w:pPr>
                              <w:spacing w:after="0" w:line="240" w:lineRule="auto"/>
                              <w:rPr>
                                <w:rFonts w:cstheme="minorHAnsi"/>
                                <w:sz w:val="24"/>
                                <w:szCs w:val="24"/>
                              </w:rPr>
                            </w:pPr>
                            <w:r w:rsidRPr="004A117E">
                              <w:rPr>
                                <w:rFonts w:ascii="Calibri" w:hAnsi="Calibri" w:cs="Calibri"/>
                                <w:color w:val="000000"/>
                                <w:sz w:val="24"/>
                                <w:szCs w:val="24"/>
                              </w:rPr>
                              <w:t xml:space="preserve">“Education should be stretching understanding and incorporating the most cutting edge thought leadership and technologies now, or it will soon become outdated. We would urge there to be more ambition in the education </w:t>
                            </w:r>
                            <w:proofErr w:type="gramStart"/>
                            <w:r w:rsidRPr="004A117E">
                              <w:rPr>
                                <w:rFonts w:ascii="Calibri" w:hAnsi="Calibri" w:cs="Calibri"/>
                                <w:color w:val="000000"/>
                                <w:sz w:val="24"/>
                                <w:szCs w:val="24"/>
                              </w:rPr>
                              <w:t>guidance in particular, to</w:t>
                            </w:r>
                            <w:proofErr w:type="gramEnd"/>
                            <w:r w:rsidRPr="004A117E">
                              <w:rPr>
                                <w:rFonts w:ascii="Calibri" w:hAnsi="Calibri" w:cs="Calibri"/>
                                <w:color w:val="000000"/>
                                <w:sz w:val="24"/>
                                <w:szCs w:val="24"/>
                              </w:rPr>
                              <w:t xml:space="preserve"> foster the necessary transformation in our profession and in the construction industry at large.”</w:t>
                            </w:r>
                          </w:p>
                          <w:p w14:paraId="7558DDC8" w14:textId="26A9E318" w:rsidR="00F11CC8" w:rsidRPr="004A117E" w:rsidRDefault="00F11CC8" w:rsidP="00F11CC8">
                            <w:pPr>
                              <w:spacing w:after="0" w:line="240" w:lineRule="auto"/>
                              <w:rPr>
                                <w:rFonts w:cstheme="minorHAnsi"/>
                                <w:sz w:val="24"/>
                                <w:szCs w:val="24"/>
                              </w:rPr>
                            </w:pPr>
                            <w:r w:rsidRPr="004A117E">
                              <w:rPr>
                                <w:rFonts w:ascii="Calibri" w:eastAsia="Times New Roman" w:hAnsi="Calibri" w:cs="Calibri"/>
                                <w:b/>
                                <w:bCs/>
                                <w:i/>
                                <w:iCs/>
                                <w:color w:val="000000"/>
                                <w:sz w:val="24"/>
                                <w:szCs w:val="24"/>
                                <w:lang w:eastAsia="en-GB"/>
                              </w:rPr>
                              <w:t>Architects Declare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17A62" id="Speech Bubble: Rectangle with Corners Rounded 4" o:spid="_x0000_s1033" type="#_x0000_t62" style="position:absolute;left:0;text-align:left;margin-left:-1.15pt;margin-top:14.85pt;width:406.3pt;height:1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Tl8gIAAG0GAAAOAAAAZHJzL2Uyb0RvYy54bWysVd9P2zAQfp+0/8Hy+0hT0lIqUtQVMU1C&#10;gCgTz65zbjI5tme7Tbu/fmcnTctAmzSNB+PL3X2+++5Hr653tSRbsK7SKqfp2YASUFwXlVrn9Nvz&#10;7acJJc4zVTCpFeR0D45ezz5+uGrMFIa61LIASxBEuWljclp6b6ZJ4ngJNXNn2oBCpdC2Zh5Fu04K&#10;yxpEr2UyHAzGSaNtYazm4Bx+vWmVdBbxhQDuH4Rw4InMKcbm42njuQpnMrti07Vlpqx4Fwb7hyhq&#10;Vil8tIe6YZ6Rja3eQNUVt9pp4c+4rhMtRMUh5oDZpIPfslmWzEDMBclxpqfJ/T9Yfr99tKQqcppR&#10;oliNJVoaAF6Sz5vVSsKUPCGHTK0lkKbyJVloq7Dc5ElvVAEFyQKFjXFTRFqaR9tJDq+Bj52wdfiP&#10;mZJdpH3f0w47Tzh+HKXjASZPCUddep5m2SgWJjm6G+v8F9A1CZecNlCsIUYQolswKfXGR/7Z9s75&#10;WIiiS4cV31NKRC2xrlsmyegim1x2dT+xGZ7aZJNhlr61OT+1Scfj8UWwwTC7V/F2CDSE4LSsittK&#10;yiiEjoaFtASDyOlqHfHR45WVVH9zZJyD8pH1184oBe8k1KJlP978XkLAlOoJBBYa+R5GpuKIHQNq&#10;cdNWVbIC2jhHA/zrsuw9Ys4RMCALzLDH7gBeJ3vAbsnq7IMrxAntnQd/Cqx17j3iy1r53rmulLbv&#10;AUh/oFq09geSWmoCS3632sUhiAUNX1a62ONgWN1uDGf4bYWtd8ecf2QWWwnbFdeef8BDSN3kVHc3&#10;Skptf773Pdjj5KKWkgZXTk7djw2zQIn8qnCmL7Hzw46KQja6GKJgTzWrU43a1AuNnYTNjdHFa7D3&#10;8nAVVtcvuB3n4VVUMcXx7Zxybw/CwrerEPcrh/k8muFeMszfqaXhATzwHJr6effCrOnmz+Po3uvD&#10;eur6vy3Q0TZ4Kj3feC0qH5RHXjsBd1pspW7/hqV5Kker46/E7BcAAAD//wMAUEsDBBQABgAIAAAA&#10;IQD2smjP3gAAAAkBAAAPAAAAZHJzL2Rvd25yZXYueG1sTI/NTsMwEITvSLyDtUjcWqeJ6E+IUxVU&#10;jqiicOG2TZYkarwOttumb89yguPOjGa/Kdaj7dWZfOgcG5hNE1DElas7bgx8vL9MlqBCRK6xd0wG&#10;rhRgXd7eFJjX7sJvdN7HRkkJhxwNtDEOudahaslimLqBWLwv5y1GOX2ja48XKbe9TpNkri12LB9a&#10;HOi5peq4P1kDQW8+t9ts2OH39RhWOxcf/NOrMfd34+YRVKQx/oXhF1/QoRSmgztxHVRvYJJmkjSQ&#10;rhagxF/OEhEOImTzBeiy0P8XlD8AAAD//wMAUEsBAi0AFAAGAAgAAAAhALaDOJL+AAAA4QEAABMA&#10;AAAAAAAAAAAAAAAAAAAAAFtDb250ZW50X1R5cGVzXS54bWxQSwECLQAUAAYACAAAACEAOP0h/9YA&#10;AACUAQAACwAAAAAAAAAAAAAAAAAvAQAAX3JlbHMvLnJlbHNQSwECLQAUAAYACAAAACEAQcnU5fIC&#10;AABtBgAADgAAAAAAAAAAAAAAAAAuAgAAZHJzL2Uyb0RvYy54bWxQSwECLQAUAAYACAAAACEA9rJo&#10;z94AAAAJAQAADwAAAAAAAAAAAAAAAABMBQAAZHJzL2Rvd25yZXYueG1sUEsFBgAAAAAEAAQA8wAA&#10;AFcGAAAAAA==&#10;" adj="23218,21220" fillcolor="white [3212]" strokecolor="#ffc000 [3207]" strokeweight="1pt">
                <v:textbox>
                  <w:txbxContent>
                    <w:p w14:paraId="17AED52F" w14:textId="1D98264E" w:rsidR="00F11CC8" w:rsidRPr="004A117E" w:rsidRDefault="00F11CC8" w:rsidP="00F11CC8">
                      <w:pPr>
                        <w:spacing w:after="0" w:line="240" w:lineRule="auto"/>
                        <w:rPr>
                          <w:rFonts w:cstheme="minorHAnsi"/>
                          <w:sz w:val="24"/>
                          <w:szCs w:val="24"/>
                        </w:rPr>
                      </w:pPr>
                      <w:r w:rsidRPr="004A117E">
                        <w:rPr>
                          <w:rFonts w:ascii="Calibri" w:hAnsi="Calibri" w:cs="Calibri"/>
                          <w:color w:val="000000"/>
                          <w:sz w:val="24"/>
                          <w:szCs w:val="24"/>
                        </w:rPr>
                        <w:t xml:space="preserve">“Education should be stretching understanding and incorporating the most cutting edge thought leadership and technologies now, or it will soon become outdated. We would urge there to be more ambition in the education </w:t>
                      </w:r>
                      <w:proofErr w:type="gramStart"/>
                      <w:r w:rsidRPr="004A117E">
                        <w:rPr>
                          <w:rFonts w:ascii="Calibri" w:hAnsi="Calibri" w:cs="Calibri"/>
                          <w:color w:val="000000"/>
                          <w:sz w:val="24"/>
                          <w:szCs w:val="24"/>
                        </w:rPr>
                        <w:t>guidance in particular, to</w:t>
                      </w:r>
                      <w:proofErr w:type="gramEnd"/>
                      <w:r w:rsidRPr="004A117E">
                        <w:rPr>
                          <w:rFonts w:ascii="Calibri" w:hAnsi="Calibri" w:cs="Calibri"/>
                          <w:color w:val="000000"/>
                          <w:sz w:val="24"/>
                          <w:szCs w:val="24"/>
                        </w:rPr>
                        <w:t xml:space="preserve"> foster the necessary transformation in our profession and in the construction industry at large.”</w:t>
                      </w:r>
                    </w:p>
                    <w:p w14:paraId="7558DDC8" w14:textId="26A9E318" w:rsidR="00F11CC8" w:rsidRPr="004A117E" w:rsidRDefault="00F11CC8" w:rsidP="00F11CC8">
                      <w:pPr>
                        <w:spacing w:after="0" w:line="240" w:lineRule="auto"/>
                        <w:rPr>
                          <w:rFonts w:cstheme="minorHAnsi"/>
                          <w:sz w:val="24"/>
                          <w:szCs w:val="24"/>
                        </w:rPr>
                      </w:pPr>
                      <w:r w:rsidRPr="004A117E">
                        <w:rPr>
                          <w:rFonts w:ascii="Calibri" w:eastAsia="Times New Roman" w:hAnsi="Calibri" w:cs="Calibri"/>
                          <w:b/>
                          <w:bCs/>
                          <w:i/>
                          <w:iCs/>
                          <w:color w:val="000000"/>
                          <w:sz w:val="24"/>
                          <w:szCs w:val="24"/>
                          <w:lang w:eastAsia="en-GB"/>
                        </w:rPr>
                        <w:t>Architects Declare UK</w:t>
                      </w:r>
                    </w:p>
                  </w:txbxContent>
                </v:textbox>
                <w10:wrap type="topAndBottom" anchorx="margin"/>
              </v:shape>
            </w:pict>
          </mc:Fallback>
        </mc:AlternateContent>
      </w:r>
    </w:p>
    <w:p w14:paraId="7468BC1D" w14:textId="0028A3D2" w:rsidR="003E548D" w:rsidRDefault="003E548D" w:rsidP="00CF2D5B">
      <w:pPr>
        <w:spacing w:after="0" w:line="240" w:lineRule="auto"/>
        <w:jc w:val="both"/>
        <w:rPr>
          <w:rFonts w:cstheme="minorHAnsi"/>
          <w:sz w:val="24"/>
          <w:szCs w:val="24"/>
        </w:rPr>
      </w:pPr>
    </w:p>
    <w:p w14:paraId="5153D212" w14:textId="37691789" w:rsidR="00F11CC8" w:rsidRDefault="005D4BE3" w:rsidP="00CF2D5B">
      <w:pPr>
        <w:spacing w:after="0" w:line="240" w:lineRule="auto"/>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681792" behindDoc="0" locked="0" layoutInCell="1" allowOverlap="1" wp14:anchorId="761CE6F6" wp14:editId="023D721E">
                <wp:simplePos x="0" y="0"/>
                <wp:positionH relativeFrom="column">
                  <wp:posOffset>14287</wp:posOffset>
                </wp:positionH>
                <wp:positionV relativeFrom="paragraph">
                  <wp:posOffset>313690</wp:posOffset>
                </wp:positionV>
                <wp:extent cx="5648960" cy="1057275"/>
                <wp:effectExtent l="285750" t="0" r="27940" b="28575"/>
                <wp:wrapTopAndBottom/>
                <wp:docPr id="14" name="Speech Bubble: Rectangle with Corners Rounded 14"/>
                <wp:cNvGraphicFramePr/>
                <a:graphic xmlns:a="http://schemas.openxmlformats.org/drawingml/2006/main">
                  <a:graphicData uri="http://schemas.microsoft.com/office/word/2010/wordprocessingShape">
                    <wps:wsp>
                      <wps:cNvSpPr/>
                      <wps:spPr>
                        <a:xfrm>
                          <a:off x="0" y="0"/>
                          <a:ext cx="5648960" cy="1057275"/>
                        </a:xfrm>
                        <a:prstGeom prst="wedgeRoundRectCallout">
                          <a:avLst>
                            <a:gd name="adj1" fmla="val -54671"/>
                            <a:gd name="adj2" fmla="val 45292"/>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A1C94" w14:textId="77777777" w:rsidR="00582526" w:rsidRDefault="00582526" w:rsidP="00582526">
                            <w:pPr>
                              <w:rPr>
                                <w:rFonts w:ascii="Calibri" w:hAnsi="Calibri" w:cs="Calibri"/>
                                <w:color w:val="000000"/>
                                <w:sz w:val="24"/>
                                <w:szCs w:val="24"/>
                              </w:rPr>
                            </w:pPr>
                            <w:r>
                              <w:rPr>
                                <w:rFonts w:ascii="Calibri" w:hAnsi="Calibri" w:cs="Calibri"/>
                                <w:color w:val="000000"/>
                                <w:sz w:val="24"/>
                                <w:szCs w:val="24"/>
                              </w:rPr>
                              <w:t>“</w:t>
                            </w:r>
                            <w:r w:rsidRPr="006D5B75">
                              <w:rPr>
                                <w:rFonts w:ascii="Calibri" w:hAnsi="Calibri" w:cs="Calibri"/>
                                <w:color w:val="000000"/>
                                <w:sz w:val="24"/>
                                <w:szCs w:val="24"/>
                              </w:rPr>
                              <w:t>It is very good that ARB is addressing sustainability in education. A complete culture change is needed in our industry to meet the climate and ecological emergency, and I feel greater ambition and cultural change needs to be reflected in your guidance.</w:t>
                            </w:r>
                            <w:r>
                              <w:rPr>
                                <w:rFonts w:ascii="Calibri" w:hAnsi="Calibri" w:cs="Calibri"/>
                                <w:color w:val="000000"/>
                                <w:sz w:val="24"/>
                                <w:szCs w:val="24"/>
                              </w:rPr>
                              <w:t>”</w:t>
                            </w:r>
                          </w:p>
                          <w:p w14:paraId="2B074B95" w14:textId="77777777" w:rsidR="00582526" w:rsidRPr="006D5B75" w:rsidRDefault="00582526" w:rsidP="00582526">
                            <w:pPr>
                              <w:spacing w:after="0" w:line="240" w:lineRule="auto"/>
                              <w:rPr>
                                <w:rFonts w:cstheme="minorHAnsi"/>
                                <w:b/>
                                <w:bCs/>
                                <w:i/>
                                <w:iCs/>
                                <w:color w:val="000000" w:themeColor="text1"/>
                                <w:sz w:val="24"/>
                                <w:szCs w:val="24"/>
                              </w:rPr>
                            </w:pPr>
                            <w:r w:rsidRPr="006D5B75">
                              <w:rPr>
                                <w:rFonts w:cstheme="minorHAnsi"/>
                                <w:b/>
                                <w:bCs/>
                                <w:i/>
                                <w:iCs/>
                                <w:color w:val="000000" w:themeColor="text1"/>
                                <w:sz w:val="24"/>
                                <w:szCs w:val="24"/>
                              </w:rPr>
                              <w:t>Registered Architect</w:t>
                            </w:r>
                          </w:p>
                          <w:p w14:paraId="2823AC9A" w14:textId="403EE836" w:rsidR="007B1789" w:rsidRPr="003E548D" w:rsidRDefault="007B1789" w:rsidP="003E548D">
                            <w:pPr>
                              <w:spacing w:after="0" w:line="240" w:lineRule="auto"/>
                              <w:rPr>
                                <w:rFonts w:ascii="Calibri" w:eastAsia="Times New Roman" w:hAnsi="Calibri" w:cs="Calibri"/>
                                <w:b/>
                                <w:bCs/>
                                <w:i/>
                                <w:iCs/>
                                <w:color w:val="000000"/>
                                <w:sz w:val="24"/>
                                <w:szCs w:val="24"/>
                                <w:lang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CE6F6" id="Speech Bubble: Rectangle with Corners Rounded 14" o:spid="_x0000_s1034" type="#_x0000_t62" style="position:absolute;left:0;text-align:left;margin-left:1.1pt;margin-top:24.7pt;width:444.8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369wIAAHAGAAAOAAAAZHJzL2Uyb0RvYy54bWysVW1P2zAQ/j5p/8Hyd0jT9QUiUtQVMU1C&#10;gCgTn13HbjI5Ps92m3a/fmcnTctAmzSND8aXu3t899xLr653tSJbYV0FOqfp+YASoTkUlV7n9Nvz&#10;7dkFJc4zXTAFWuR0Lxy9nn38cNWYTAyhBFUISxBEu6wxOS29N1mSOF6KmrlzMEKjUoKtmUfRrpPC&#10;sgbRa5UMB4NJ0oAtjAUunMOvN62SziK+lIL7Bymd8ETlFGPz8bTxXIUzmV2xbG2ZKSvehcH+IYqa&#10;VRof7aFumGdkY6s3UHXFLTiQ/pxDnYCUFRcxB8wmHfyWzbJkRsRckBxneprc/4Pl99tHS6oCazei&#10;RLMaa7Q0QvCSfN6sVkpk5AlJZHqtBGkqX5IFWI31Jk+w0YUoCPohiY1xGWItzaPtJIfXwMhO2jr8&#10;x1zJLhK/74kXO084fhxPRheXE6wPR106GE+H03FATY7uxjr/RUBNwiWnjSjWIoYQwlswpWDjYwXY&#10;9s75WIqiy4cV31NKZK2wslumyNl4NJmmXelPjIanRqPx8HL41ubTqU06mUymXZzdsxjxIdIQgwNV&#10;FbeVUlEITS0WyhKMIqerdYwBPV5ZKf03R8a50D7S/toZpeCdhGK09Meb3ysRMJV+EhJrjYQPI1Vx&#10;yo4BtbhpqypZIdo4xwP867LsPWJtImBAlphhj90BvE72gN0WtbMPriIOae88+FNgrXPvEV8G7Xvn&#10;utJg3wNQ/kC1bO0PJLXUBJb8brWLc3ARUg1fVlDscTYstEvDGX5bYe/dMecfmcVewn7Fzecf8JAK&#10;mpxCd6OkBPvzve/BHocXtZQ0uHVy6n5smBWUqK8ax/oyHY3CmorCCOcABXuqWZ1q9KZeAHYSdjdG&#10;F6/B3qvDVVqoX3BBzsOrqGKa49s55d4ehIVvtyGuWC7m82iGq8kwf6eXhgfwwHNo6ufdC7OmG0CP&#10;s3sPhw3Fstj/bYGOtsFTw3zjQVY+KI+8dgKutdhK3QoOe/NUjlbHH4rZLwAAAP//AwBQSwMEFAAG&#10;AAgAAAAhAER0whvdAAAACAEAAA8AAABkcnMvZG93bnJldi54bWxMj81ugzAQhO+V+g7WRuqtMdCU&#10;BoqJUKWqxyop6tlgB0jwGmHz07fv9tQcd2Y0+012WE3PZj26zqKAcBsA01hb1WEjoPx6f9wDc16i&#10;kr1FLeBHOzjk93eZTJVd8Kjnk28YlaBLpYDW+yHl3NWtNtJt7aCRvLMdjfR0jg1Xo1yo3PQ8CoKY&#10;G9khfWjloN9aXV9PkxFwfVnisniKLx/tXHfTd/lZFcezEA+btXgF5vXq/8Pwh0/okBNTZSdUjvUC&#10;ooiCAnbJDhjZ+ySkJRXp4XMCPM/47YD8FwAA//8DAFBLAQItABQABgAIAAAAIQC2gziS/gAAAOEB&#10;AAATAAAAAAAAAAAAAAAAAAAAAABbQ29udGVudF9UeXBlc10ueG1sUEsBAi0AFAAGAAgAAAAhADj9&#10;If/WAAAAlAEAAAsAAAAAAAAAAAAAAAAALwEAAF9yZWxzLy5yZWxzUEsBAi0AFAAGAAgAAAAhAE06&#10;Pfr3AgAAcAYAAA4AAAAAAAAAAAAAAAAALgIAAGRycy9lMm9Eb2MueG1sUEsBAi0AFAAGAAgAAAAh&#10;AER0whvdAAAACAEAAA8AAAAAAAAAAAAAAAAAUQUAAGRycy9kb3ducmV2LnhtbFBLBQYAAAAABAAE&#10;APMAAABbBgAAAAA=&#10;" adj="-1009,20583" fillcolor="white [3212]" strokecolor="#ffc000 [3207]" strokeweight="1pt">
                <v:textbox>
                  <w:txbxContent>
                    <w:p w14:paraId="5B5A1C94" w14:textId="77777777" w:rsidR="00582526" w:rsidRDefault="00582526" w:rsidP="00582526">
                      <w:pPr>
                        <w:rPr>
                          <w:rFonts w:ascii="Calibri" w:hAnsi="Calibri" w:cs="Calibri"/>
                          <w:color w:val="000000"/>
                          <w:sz w:val="24"/>
                          <w:szCs w:val="24"/>
                        </w:rPr>
                      </w:pPr>
                      <w:r>
                        <w:rPr>
                          <w:rFonts w:ascii="Calibri" w:hAnsi="Calibri" w:cs="Calibri"/>
                          <w:color w:val="000000"/>
                          <w:sz w:val="24"/>
                          <w:szCs w:val="24"/>
                        </w:rPr>
                        <w:t>“</w:t>
                      </w:r>
                      <w:r w:rsidRPr="006D5B75">
                        <w:rPr>
                          <w:rFonts w:ascii="Calibri" w:hAnsi="Calibri" w:cs="Calibri"/>
                          <w:color w:val="000000"/>
                          <w:sz w:val="24"/>
                          <w:szCs w:val="24"/>
                        </w:rPr>
                        <w:t>It is very good that ARB is addressing sustainability in education. A complete culture change is needed in our industry to meet the climate and ecological emergency, and I feel greater ambition and cultural change needs to be reflected in your guidance.</w:t>
                      </w:r>
                      <w:r>
                        <w:rPr>
                          <w:rFonts w:ascii="Calibri" w:hAnsi="Calibri" w:cs="Calibri"/>
                          <w:color w:val="000000"/>
                          <w:sz w:val="24"/>
                          <w:szCs w:val="24"/>
                        </w:rPr>
                        <w:t>”</w:t>
                      </w:r>
                    </w:p>
                    <w:p w14:paraId="2B074B95" w14:textId="77777777" w:rsidR="00582526" w:rsidRPr="006D5B75" w:rsidRDefault="00582526" w:rsidP="00582526">
                      <w:pPr>
                        <w:spacing w:after="0" w:line="240" w:lineRule="auto"/>
                        <w:rPr>
                          <w:rFonts w:cstheme="minorHAnsi"/>
                          <w:b/>
                          <w:bCs/>
                          <w:i/>
                          <w:iCs/>
                          <w:color w:val="000000" w:themeColor="text1"/>
                          <w:sz w:val="24"/>
                          <w:szCs w:val="24"/>
                        </w:rPr>
                      </w:pPr>
                      <w:r w:rsidRPr="006D5B75">
                        <w:rPr>
                          <w:rFonts w:cstheme="minorHAnsi"/>
                          <w:b/>
                          <w:bCs/>
                          <w:i/>
                          <w:iCs/>
                          <w:color w:val="000000" w:themeColor="text1"/>
                          <w:sz w:val="24"/>
                          <w:szCs w:val="24"/>
                        </w:rPr>
                        <w:t>Registered Architect</w:t>
                      </w:r>
                    </w:p>
                    <w:p w14:paraId="2823AC9A" w14:textId="403EE836" w:rsidR="007B1789" w:rsidRPr="003E548D" w:rsidRDefault="007B1789" w:rsidP="003E548D">
                      <w:pPr>
                        <w:spacing w:after="0" w:line="240" w:lineRule="auto"/>
                        <w:rPr>
                          <w:rFonts w:ascii="Calibri" w:eastAsia="Times New Roman" w:hAnsi="Calibri" w:cs="Calibri"/>
                          <w:b/>
                          <w:bCs/>
                          <w:i/>
                          <w:iCs/>
                          <w:color w:val="000000"/>
                          <w:sz w:val="24"/>
                          <w:szCs w:val="24"/>
                          <w:lang w:eastAsia="en-GB"/>
                        </w:rPr>
                      </w:pPr>
                    </w:p>
                  </w:txbxContent>
                </v:textbox>
                <w10:wrap type="topAndBottom"/>
              </v:shape>
            </w:pict>
          </mc:Fallback>
        </mc:AlternateContent>
      </w:r>
    </w:p>
    <w:p w14:paraId="7E9C530E" w14:textId="4E2B3E6A" w:rsidR="005D4BE3" w:rsidRDefault="005D4BE3" w:rsidP="00CF2D5B">
      <w:pPr>
        <w:spacing w:after="0" w:line="240" w:lineRule="auto"/>
        <w:jc w:val="both"/>
        <w:rPr>
          <w:rFonts w:cstheme="minorHAnsi"/>
          <w:sz w:val="24"/>
          <w:szCs w:val="24"/>
        </w:rPr>
      </w:pPr>
    </w:p>
    <w:p w14:paraId="6118AA06" w14:textId="77777777" w:rsidR="00AA7A07" w:rsidRDefault="005D4BE3"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The scale of change necessary is so stark for some respondents, that they suggested the language we use to talk about sustainability also needs to be addressed.</w:t>
      </w:r>
    </w:p>
    <w:p w14:paraId="3780E624" w14:textId="2B761ADA" w:rsidR="00E8432E" w:rsidRDefault="005D4BE3" w:rsidP="00E8432E">
      <w:pPr>
        <w:pStyle w:val="ListParagraph"/>
        <w:spacing w:after="0" w:line="240" w:lineRule="auto"/>
        <w:ind w:left="567"/>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694080" behindDoc="0" locked="0" layoutInCell="1" allowOverlap="1" wp14:anchorId="52BACB5F" wp14:editId="6318D1D4">
                <wp:simplePos x="0" y="0"/>
                <wp:positionH relativeFrom="margin">
                  <wp:posOffset>0</wp:posOffset>
                </wp:positionH>
                <wp:positionV relativeFrom="paragraph">
                  <wp:posOffset>441960</wp:posOffset>
                </wp:positionV>
                <wp:extent cx="5160010" cy="1120775"/>
                <wp:effectExtent l="0" t="0" r="440690" b="22225"/>
                <wp:wrapTopAndBottom/>
                <wp:docPr id="12" name="Speech Bubble: Rectangle with Corners Rounded 12"/>
                <wp:cNvGraphicFramePr/>
                <a:graphic xmlns:a="http://schemas.openxmlformats.org/drawingml/2006/main">
                  <a:graphicData uri="http://schemas.microsoft.com/office/word/2010/wordprocessingShape">
                    <wps:wsp>
                      <wps:cNvSpPr/>
                      <wps:spPr>
                        <a:xfrm>
                          <a:off x="0" y="0"/>
                          <a:ext cx="5160010" cy="1120775"/>
                        </a:xfrm>
                        <a:prstGeom prst="wedgeRoundRectCallout">
                          <a:avLst>
                            <a:gd name="adj1" fmla="val 57489"/>
                            <a:gd name="adj2" fmla="val 48241"/>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C1173" w14:textId="77777777" w:rsidR="005D4BE3" w:rsidRPr="004A117E" w:rsidRDefault="005D4BE3" w:rsidP="005D4BE3">
                            <w:pPr>
                              <w:spacing w:after="0" w:line="240" w:lineRule="auto"/>
                              <w:rPr>
                                <w:rFonts w:cstheme="minorHAnsi"/>
                                <w:sz w:val="24"/>
                                <w:szCs w:val="24"/>
                              </w:rPr>
                            </w:pPr>
                            <w:r w:rsidRPr="004A117E">
                              <w:rPr>
                                <w:rFonts w:ascii="Calibri" w:hAnsi="Calibri" w:cs="Calibri"/>
                                <w:color w:val="000000"/>
                                <w:sz w:val="24"/>
                                <w:szCs w:val="24"/>
                              </w:rPr>
                              <w:t>“We would encourage the ARB towards adoption of 'Regenerative' terminology as opposed to sustainability - where sustainability is extending the status quo, or not net bad, and regenerative is about creating positive impacts beyond net zero/net neutral.”</w:t>
                            </w:r>
                          </w:p>
                          <w:p w14:paraId="26564BE9" w14:textId="77777777" w:rsidR="005D4BE3" w:rsidRPr="004A117E" w:rsidRDefault="005D4BE3" w:rsidP="005D4BE3">
                            <w:pPr>
                              <w:spacing w:after="0" w:line="240" w:lineRule="auto"/>
                              <w:rPr>
                                <w:rFonts w:cstheme="minorHAnsi"/>
                                <w:sz w:val="24"/>
                                <w:szCs w:val="24"/>
                              </w:rPr>
                            </w:pPr>
                            <w:r w:rsidRPr="004A117E">
                              <w:rPr>
                                <w:rFonts w:ascii="Calibri" w:eastAsia="Times New Roman" w:hAnsi="Calibri" w:cs="Calibri"/>
                                <w:b/>
                                <w:bCs/>
                                <w:i/>
                                <w:iCs/>
                                <w:color w:val="000000"/>
                                <w:sz w:val="24"/>
                                <w:szCs w:val="24"/>
                                <w:lang w:eastAsia="en-GB"/>
                              </w:rPr>
                              <w:t>Architects Declare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ACB5F" id="Speech Bubble: Rectangle with Corners Rounded 12" o:spid="_x0000_s1035" type="#_x0000_t62" style="position:absolute;left:0;text-align:left;margin-left:0;margin-top:34.8pt;width:406.3pt;height:88.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y9wIAAG8GAAAOAAAAZHJzL2Uyb0RvYy54bWysVdtu2zAMfR+wfxD0vtrOcmtQp8hSdBhQ&#10;tEXToc+KLMUeZFGTlDjZ14+S7SRbiw0Y1gdVNMkj8vCSq+t9rchOWFeBzml2kVIiNIei0pucfn2+&#10;/TClxHmmC6ZAi5wehKPX8/fvrhozEwMoQRXCEgTRbtaYnJbem1mSOF6KmrkLMEKjUoKtmUfRbpLC&#10;sgbRa5UM0nScNGALY4EL5/DrTauk84gvpeD+QUonPFE5xdh8PG081+FM5ldstrHMlBXvwmD/EEXN&#10;Ko2PHqFumGdka6tXUHXFLTiQ/oJDnYCUFRcxB8wmS3/LZlUyI2IuSI4zR5rc/4Pl97tHS6oCazeg&#10;RLMaa7QyQvCSfNqu10rMyBOSyPRGCdJUviRLsBrrTZ5gqwtREPRDEhvjZoi1Mo+2kxxeAyN7aevw&#10;H3Ml+0j84Ui82HvC8eMoG6eYPiUcdVk2SCeTUUBNTu7GOv9ZQE3CJaeNKDYihhDCWzKlYOtjBdju&#10;zvlYiqLLhxXfMkpkrbCyO6bIaDKcXnaVP7PB/E82w+lgmL22+Xhuk43H40kXZvcqBtwHGkJwoKri&#10;tlIqCqGnxVJZgkHkdL2J+Ojxi5XSf3NknAvth93DZ84IFbyTUIuW/XjzByUCptJPQmKpke9BZCoO&#10;2SmgFjdrVSUrRBvnKMW//rE+hViaCBiQJWZ4xO4AessWpMdua9rZB1cRZ/TonP4psNb56BFfBu2P&#10;znWlwb4FoHxPtWzte5JaagJLfr/exzGIjRG+rKE44GhYaHeGM/y2wta7Y84/MouthO2Ki88/4CEV&#10;NDmF7kZJCfbHW9+DPc4uailpcOnk1H3fMisoUV80TvVlNhyGLRWF4WgyQMGea9bnGr2tl4CdhM2N&#10;0cVrsPeqv0oL9Qvux0V4FVVMc3w7p9zbXlj6dhnihuVisYhmuJkM83d6ZXgADzyHpn7evzBruvnz&#10;OLr30C8oNov93xboZBs8NSy2HmTlg/LEayfgVout1G3gsDbP5Wh1+p2Y/wQAAP//AwBQSwMEFAAG&#10;AAgAAAAhAGkMYI3dAAAABwEAAA8AAABkcnMvZG93bnJldi54bWxMj8FOwzAQRO9I/IO1SNyokwBR&#10;G7KpCipHVFG4cHPjJYkar0Pstunfs5zobUczmnlbLifXqyONofOMkM4SUMS1tx03CJ8fr3dzUCEa&#10;tqb3TAhnCrCsrq9KU1h/4nc6bmOjpIRDYRDaGIdC61C35EyY+YFYvG8/OhNFjo22ozlJuet1liS5&#10;dqZjWWjNQC8t1fvtwSEEvfpar++Hjfk578Ni4+Pj+PyGeHszrZ5ARZrifxj+8AUdKmHa+QPboHoE&#10;eSQi5IsclLjzNJNjh5A95CnoqtSX/NUvAAAA//8DAFBLAQItABQABgAIAAAAIQC2gziS/gAAAOEB&#10;AAATAAAAAAAAAAAAAAAAAAAAAABbQ29udGVudF9UeXBlc10ueG1sUEsBAi0AFAAGAAgAAAAhADj9&#10;If/WAAAAlAEAAAsAAAAAAAAAAAAAAAAALwEAAF9yZWxzLy5yZWxzUEsBAi0AFAAGAAgAAAAhAF8D&#10;+/L3AgAAbwYAAA4AAAAAAAAAAAAAAAAALgIAAGRycy9lMm9Eb2MueG1sUEsBAi0AFAAGAAgAAAAh&#10;AGkMYI3dAAAABwEAAA8AAAAAAAAAAAAAAAAAUQUAAGRycy9kb3ducmV2LnhtbFBLBQYAAAAABAAE&#10;APMAAABbBgAAAAA=&#10;" adj="23218,21220" fillcolor="white [3212]" strokecolor="#ffc000 [3207]" strokeweight="1pt">
                <v:textbox>
                  <w:txbxContent>
                    <w:p w14:paraId="489C1173" w14:textId="77777777" w:rsidR="005D4BE3" w:rsidRPr="004A117E" w:rsidRDefault="005D4BE3" w:rsidP="005D4BE3">
                      <w:pPr>
                        <w:spacing w:after="0" w:line="240" w:lineRule="auto"/>
                        <w:rPr>
                          <w:rFonts w:cstheme="minorHAnsi"/>
                          <w:sz w:val="24"/>
                          <w:szCs w:val="24"/>
                        </w:rPr>
                      </w:pPr>
                      <w:r w:rsidRPr="004A117E">
                        <w:rPr>
                          <w:rFonts w:ascii="Calibri" w:hAnsi="Calibri" w:cs="Calibri"/>
                          <w:color w:val="000000"/>
                          <w:sz w:val="24"/>
                          <w:szCs w:val="24"/>
                        </w:rPr>
                        <w:t>“We would encourage the ARB towards adoption of 'Regenerative' terminology as opposed to sustainability - where sustainability is extending the status quo, or not net bad, and regenerative is about creating positive impacts beyond net zero/net neutral.”</w:t>
                      </w:r>
                    </w:p>
                    <w:p w14:paraId="26564BE9" w14:textId="77777777" w:rsidR="005D4BE3" w:rsidRPr="004A117E" w:rsidRDefault="005D4BE3" w:rsidP="005D4BE3">
                      <w:pPr>
                        <w:spacing w:after="0" w:line="240" w:lineRule="auto"/>
                        <w:rPr>
                          <w:rFonts w:cstheme="minorHAnsi"/>
                          <w:sz w:val="24"/>
                          <w:szCs w:val="24"/>
                        </w:rPr>
                      </w:pPr>
                      <w:r w:rsidRPr="004A117E">
                        <w:rPr>
                          <w:rFonts w:ascii="Calibri" w:eastAsia="Times New Roman" w:hAnsi="Calibri" w:cs="Calibri"/>
                          <w:b/>
                          <w:bCs/>
                          <w:i/>
                          <w:iCs/>
                          <w:color w:val="000000"/>
                          <w:sz w:val="24"/>
                          <w:szCs w:val="24"/>
                          <w:lang w:eastAsia="en-GB"/>
                        </w:rPr>
                        <w:t>Architects Declare UK</w:t>
                      </w:r>
                    </w:p>
                  </w:txbxContent>
                </v:textbox>
                <w10:wrap type="topAndBottom" anchorx="margin"/>
              </v:shape>
            </w:pict>
          </mc:Fallback>
        </mc:AlternateContent>
      </w:r>
    </w:p>
    <w:p w14:paraId="6CF0FA67" w14:textId="77777777" w:rsidR="00175E5F" w:rsidRDefault="00175E5F" w:rsidP="00E8432E">
      <w:pPr>
        <w:pStyle w:val="ListParagraph"/>
        <w:spacing w:after="0" w:line="240" w:lineRule="auto"/>
        <w:ind w:left="567"/>
        <w:jc w:val="both"/>
        <w:rPr>
          <w:rFonts w:cstheme="minorHAnsi"/>
          <w:sz w:val="24"/>
          <w:szCs w:val="24"/>
        </w:rPr>
      </w:pPr>
    </w:p>
    <w:p w14:paraId="7E529DD9" w14:textId="77777777" w:rsidR="003E548D" w:rsidRPr="00A4438A" w:rsidRDefault="003E548D" w:rsidP="00CF2D5B">
      <w:pPr>
        <w:spacing w:after="0" w:line="240" w:lineRule="auto"/>
        <w:jc w:val="both"/>
        <w:rPr>
          <w:rFonts w:cstheme="minorHAnsi"/>
          <w:sz w:val="24"/>
          <w:szCs w:val="24"/>
        </w:rPr>
      </w:pPr>
    </w:p>
    <w:p w14:paraId="1F38086A" w14:textId="77777777" w:rsidR="00050B51" w:rsidRPr="00A4438A" w:rsidRDefault="009B2BD5"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sz w:val="24"/>
          <w:szCs w:val="24"/>
        </w:rPr>
        <w:t>We also received suggestions that the guidance should be more specific</w:t>
      </w:r>
      <w:r w:rsidR="00050B51" w:rsidRPr="00A4438A">
        <w:rPr>
          <w:rFonts w:cstheme="minorHAnsi"/>
          <w:sz w:val="24"/>
          <w:szCs w:val="24"/>
        </w:rPr>
        <w:t>. A range of points were made about this, including:</w:t>
      </w:r>
    </w:p>
    <w:p w14:paraId="1A3D8AF7" w14:textId="77777777" w:rsidR="00050B51" w:rsidRPr="005D4BE3" w:rsidRDefault="00050B51" w:rsidP="00CF2D5B">
      <w:pPr>
        <w:pStyle w:val="ListParagraph"/>
        <w:numPr>
          <w:ilvl w:val="0"/>
          <w:numId w:val="31"/>
        </w:numPr>
        <w:spacing w:after="120" w:line="276" w:lineRule="auto"/>
        <w:jc w:val="both"/>
        <w:rPr>
          <w:rFonts w:cstheme="minorHAnsi"/>
          <w:sz w:val="24"/>
          <w:szCs w:val="24"/>
        </w:rPr>
      </w:pPr>
      <w:r w:rsidRPr="005D4BE3">
        <w:rPr>
          <w:rFonts w:cstheme="minorHAnsi"/>
          <w:sz w:val="24"/>
          <w:szCs w:val="24"/>
        </w:rPr>
        <w:t>the need for the status of the guidance to be clarified;</w:t>
      </w:r>
    </w:p>
    <w:p w14:paraId="2C556DAC" w14:textId="7837F552" w:rsidR="009B2BD5" w:rsidRPr="005D4BE3" w:rsidRDefault="00050B51" w:rsidP="00CF2D5B">
      <w:pPr>
        <w:pStyle w:val="ListParagraph"/>
        <w:numPr>
          <w:ilvl w:val="0"/>
          <w:numId w:val="31"/>
        </w:numPr>
        <w:spacing w:after="120" w:line="276" w:lineRule="auto"/>
        <w:jc w:val="both"/>
        <w:rPr>
          <w:rFonts w:cstheme="minorHAnsi"/>
          <w:sz w:val="24"/>
          <w:szCs w:val="24"/>
        </w:rPr>
      </w:pPr>
      <w:r w:rsidRPr="005D4BE3">
        <w:rPr>
          <w:rFonts w:cstheme="minorHAnsi"/>
          <w:sz w:val="24"/>
          <w:szCs w:val="24"/>
        </w:rPr>
        <w:t>suggestion that</w:t>
      </w:r>
      <w:r w:rsidR="009B2BD5" w:rsidRPr="005D4BE3">
        <w:rPr>
          <w:rFonts w:cstheme="minorHAnsi"/>
          <w:sz w:val="24"/>
          <w:szCs w:val="24"/>
        </w:rPr>
        <w:t xml:space="preserve"> </w:t>
      </w:r>
      <w:r w:rsidR="00E8432E">
        <w:rPr>
          <w:rFonts w:cstheme="minorHAnsi"/>
          <w:sz w:val="24"/>
          <w:szCs w:val="24"/>
        </w:rPr>
        <w:t>the guidance should address</w:t>
      </w:r>
      <w:r w:rsidR="009B2BD5" w:rsidRPr="005D4BE3">
        <w:rPr>
          <w:rFonts w:cstheme="minorHAnsi"/>
          <w:sz w:val="24"/>
          <w:szCs w:val="24"/>
        </w:rPr>
        <w:t xml:space="preserve"> how institutions should go about teaching sustainability – specifying the need for a more practical approach on some aspects of sustainability, for example site visits</w:t>
      </w:r>
      <w:r w:rsidRPr="005D4BE3">
        <w:rPr>
          <w:rFonts w:cstheme="minorHAnsi"/>
          <w:sz w:val="24"/>
          <w:szCs w:val="24"/>
        </w:rPr>
        <w:t>;</w:t>
      </w:r>
    </w:p>
    <w:p w14:paraId="632524EF" w14:textId="0FD7961C" w:rsidR="00050B51" w:rsidRPr="005D4BE3" w:rsidRDefault="00050B51" w:rsidP="00CF2D5B">
      <w:pPr>
        <w:pStyle w:val="ListParagraph"/>
        <w:numPr>
          <w:ilvl w:val="0"/>
          <w:numId w:val="31"/>
        </w:numPr>
        <w:spacing w:after="120" w:line="276" w:lineRule="auto"/>
        <w:jc w:val="both"/>
        <w:rPr>
          <w:rFonts w:cstheme="minorHAnsi"/>
          <w:sz w:val="24"/>
          <w:szCs w:val="24"/>
        </w:rPr>
      </w:pPr>
      <w:r w:rsidRPr="005D4BE3">
        <w:rPr>
          <w:rFonts w:cstheme="minorHAnsi"/>
          <w:sz w:val="24"/>
          <w:szCs w:val="24"/>
        </w:rPr>
        <w:t xml:space="preserve">the suggestion that specific legislation and standards </w:t>
      </w:r>
      <w:proofErr w:type="gramStart"/>
      <w:r w:rsidRPr="005D4BE3">
        <w:rPr>
          <w:rFonts w:cstheme="minorHAnsi"/>
          <w:sz w:val="24"/>
          <w:szCs w:val="24"/>
        </w:rPr>
        <w:t>should be explicitly be</w:t>
      </w:r>
      <w:proofErr w:type="gramEnd"/>
      <w:r w:rsidRPr="005D4BE3">
        <w:rPr>
          <w:rFonts w:cstheme="minorHAnsi"/>
          <w:sz w:val="24"/>
          <w:szCs w:val="24"/>
        </w:rPr>
        <w:t xml:space="preserve"> noted;</w:t>
      </w:r>
    </w:p>
    <w:p w14:paraId="5CA65BA1" w14:textId="1A516165" w:rsidR="00050B51" w:rsidRPr="005D4BE3" w:rsidRDefault="00050B51" w:rsidP="00CF2D5B">
      <w:pPr>
        <w:pStyle w:val="ListParagraph"/>
        <w:numPr>
          <w:ilvl w:val="0"/>
          <w:numId w:val="31"/>
        </w:numPr>
        <w:spacing w:after="120" w:line="276" w:lineRule="auto"/>
        <w:jc w:val="both"/>
        <w:rPr>
          <w:rFonts w:cstheme="minorHAnsi"/>
          <w:sz w:val="24"/>
          <w:szCs w:val="24"/>
        </w:rPr>
      </w:pPr>
      <w:r w:rsidRPr="005D4BE3">
        <w:rPr>
          <w:rFonts w:cstheme="minorHAnsi"/>
          <w:sz w:val="24"/>
          <w:szCs w:val="24"/>
        </w:rPr>
        <w:t>the request that the guidance be aligned more specifically with Parts 1, 2 and 3 of architectural education;</w:t>
      </w:r>
    </w:p>
    <w:p w14:paraId="1A3AA629" w14:textId="70267320" w:rsidR="00050B51" w:rsidRPr="005D4BE3" w:rsidRDefault="00050B51" w:rsidP="00CF2D5B">
      <w:pPr>
        <w:pStyle w:val="ListParagraph"/>
        <w:numPr>
          <w:ilvl w:val="0"/>
          <w:numId w:val="31"/>
        </w:numPr>
        <w:spacing w:after="120" w:line="276" w:lineRule="auto"/>
        <w:jc w:val="both"/>
        <w:rPr>
          <w:rFonts w:cstheme="minorHAnsi"/>
          <w:sz w:val="24"/>
          <w:szCs w:val="24"/>
        </w:rPr>
      </w:pPr>
      <w:r w:rsidRPr="005D4BE3">
        <w:rPr>
          <w:rFonts w:cstheme="minorHAnsi"/>
          <w:sz w:val="24"/>
          <w:szCs w:val="24"/>
        </w:rPr>
        <w:t xml:space="preserve">the recommendation that targets </w:t>
      </w:r>
      <w:r w:rsidR="00E8432E">
        <w:rPr>
          <w:rFonts w:cstheme="minorHAnsi"/>
          <w:sz w:val="24"/>
          <w:szCs w:val="24"/>
        </w:rPr>
        <w:t>should be</w:t>
      </w:r>
      <w:r w:rsidRPr="005D4BE3">
        <w:rPr>
          <w:rFonts w:cstheme="minorHAnsi"/>
          <w:sz w:val="24"/>
          <w:szCs w:val="24"/>
        </w:rPr>
        <w:t xml:space="preserve"> set for </w:t>
      </w:r>
      <w:r w:rsidR="00E8432E">
        <w:rPr>
          <w:rFonts w:cstheme="minorHAnsi"/>
          <w:sz w:val="24"/>
          <w:szCs w:val="24"/>
        </w:rPr>
        <w:t>skills that should be taught.</w:t>
      </w:r>
    </w:p>
    <w:p w14:paraId="6616E636" w14:textId="3F122F57" w:rsidR="009B2BD5" w:rsidRPr="00A4438A" w:rsidRDefault="009B2BD5" w:rsidP="00CF2D5B">
      <w:pPr>
        <w:spacing w:after="0" w:line="240" w:lineRule="auto"/>
        <w:jc w:val="both"/>
        <w:rPr>
          <w:rFonts w:eastAsia="Times New Roman" w:cstheme="minorHAnsi"/>
          <w:color w:val="000000"/>
          <w:sz w:val="24"/>
          <w:szCs w:val="24"/>
          <w:lang w:eastAsia="en-GB"/>
        </w:rPr>
      </w:pPr>
    </w:p>
    <w:p w14:paraId="7EEFA5A9" w14:textId="7A8BFCE6" w:rsidR="007B1789" w:rsidRPr="00A4438A" w:rsidRDefault="007B1789" w:rsidP="00CF2D5B">
      <w:pPr>
        <w:spacing w:after="0" w:line="240" w:lineRule="auto"/>
        <w:jc w:val="both"/>
        <w:rPr>
          <w:rFonts w:cstheme="minorHAnsi"/>
          <w:sz w:val="24"/>
          <w:szCs w:val="24"/>
        </w:rPr>
      </w:pPr>
    </w:p>
    <w:p w14:paraId="1EED65E6" w14:textId="5935E477" w:rsidR="007B1789" w:rsidRPr="00A4438A" w:rsidRDefault="00582526" w:rsidP="00CF2D5B">
      <w:pPr>
        <w:spacing w:after="0" w:line="240" w:lineRule="auto"/>
        <w:jc w:val="both"/>
        <w:rPr>
          <w:rFonts w:cstheme="minorHAnsi"/>
          <w:sz w:val="24"/>
          <w:szCs w:val="24"/>
        </w:rPr>
      </w:pPr>
      <w:r w:rsidRPr="00A4438A">
        <w:rPr>
          <w:rFonts w:cstheme="minorHAnsi"/>
          <w:noProof/>
          <w:sz w:val="24"/>
          <w:szCs w:val="24"/>
        </w:rPr>
        <w:lastRenderedPageBreak/>
        <mc:AlternateContent>
          <mc:Choice Requires="wps">
            <w:drawing>
              <wp:anchor distT="0" distB="0" distL="114300" distR="114300" simplePos="0" relativeHeight="251689984" behindDoc="0" locked="0" layoutInCell="1" allowOverlap="1" wp14:anchorId="09ACAEB1" wp14:editId="038A83AC">
                <wp:simplePos x="0" y="0"/>
                <wp:positionH relativeFrom="margin">
                  <wp:align>left</wp:align>
                </wp:positionH>
                <wp:positionV relativeFrom="paragraph">
                  <wp:posOffset>1601470</wp:posOffset>
                </wp:positionV>
                <wp:extent cx="5160010" cy="1339850"/>
                <wp:effectExtent l="0" t="0" r="440690" b="12700"/>
                <wp:wrapTopAndBottom/>
                <wp:docPr id="20" name="Speech Bubble: Rectangle with Corners Rounded 20"/>
                <wp:cNvGraphicFramePr/>
                <a:graphic xmlns:a="http://schemas.openxmlformats.org/drawingml/2006/main">
                  <a:graphicData uri="http://schemas.microsoft.com/office/word/2010/wordprocessingShape">
                    <wps:wsp>
                      <wps:cNvSpPr/>
                      <wps:spPr>
                        <a:xfrm>
                          <a:off x="0" y="0"/>
                          <a:ext cx="5160010" cy="1339850"/>
                        </a:xfrm>
                        <a:prstGeom prst="wedgeRoundRectCallout">
                          <a:avLst>
                            <a:gd name="adj1" fmla="val 57489"/>
                            <a:gd name="adj2" fmla="val 48241"/>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3A1789" w14:textId="77777777" w:rsidR="00582526" w:rsidRPr="006D5B75" w:rsidRDefault="00582526" w:rsidP="00582526">
                            <w:pPr>
                              <w:rPr>
                                <w:rFonts w:ascii="Calibri" w:hAnsi="Calibri" w:cs="Calibri"/>
                                <w:color w:val="000000"/>
                                <w:sz w:val="24"/>
                                <w:szCs w:val="24"/>
                              </w:rPr>
                            </w:pPr>
                            <w:r>
                              <w:rPr>
                                <w:rFonts w:ascii="Calibri" w:hAnsi="Calibri" w:cs="Calibri"/>
                                <w:color w:val="000000"/>
                                <w:sz w:val="24"/>
                                <w:szCs w:val="24"/>
                              </w:rPr>
                              <w:t>“</w:t>
                            </w:r>
                            <w:r w:rsidRPr="006D5B75">
                              <w:rPr>
                                <w:rFonts w:ascii="Calibri" w:hAnsi="Calibri" w:cs="Calibri"/>
                                <w:color w:val="000000"/>
                                <w:sz w:val="24"/>
                                <w:szCs w:val="24"/>
                              </w:rPr>
                              <w:t>The only effective method of ensuring all educational establishments equally addressed these guidance items would be if there were standardised tests... Students and professionals could all be tested on elements required to evidence they have met these criteria.</w:t>
                            </w:r>
                            <w:r>
                              <w:rPr>
                                <w:rFonts w:ascii="Calibri" w:hAnsi="Calibri" w:cs="Calibri"/>
                                <w:color w:val="000000"/>
                                <w:sz w:val="24"/>
                                <w:szCs w:val="24"/>
                              </w:rPr>
                              <w:t>”</w:t>
                            </w:r>
                          </w:p>
                          <w:p w14:paraId="1AA5C89A" w14:textId="77777777" w:rsidR="00582526" w:rsidRPr="006D5B75" w:rsidRDefault="00582526" w:rsidP="00582526">
                            <w:pPr>
                              <w:spacing w:after="0" w:line="240" w:lineRule="auto"/>
                              <w:rPr>
                                <w:rFonts w:cstheme="minorHAnsi"/>
                                <w:b/>
                                <w:bCs/>
                                <w:i/>
                                <w:iCs/>
                                <w:color w:val="000000" w:themeColor="text1"/>
                                <w:sz w:val="24"/>
                                <w:szCs w:val="24"/>
                              </w:rPr>
                            </w:pPr>
                            <w:r w:rsidRPr="006D5B75">
                              <w:rPr>
                                <w:rFonts w:cstheme="minorHAnsi"/>
                                <w:b/>
                                <w:bCs/>
                                <w:i/>
                                <w:iCs/>
                                <w:color w:val="000000" w:themeColor="text1"/>
                                <w:sz w:val="24"/>
                                <w:szCs w:val="24"/>
                              </w:rPr>
                              <w:t>Jonathan Pilbeam, Registered Architect</w:t>
                            </w:r>
                          </w:p>
                          <w:p w14:paraId="563199C6" w14:textId="24A07FDF" w:rsidR="007B1789" w:rsidRPr="004A117E" w:rsidRDefault="007B1789" w:rsidP="007B1789">
                            <w:pPr>
                              <w:spacing w:after="0" w:line="240" w:lineRule="auto"/>
                              <w:rPr>
                                <w:rFonts w:cstheme="minorHAnsi"/>
                                <w:b/>
                                <w:bCs/>
                                <w:i/>
                                <w:i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CAEB1" id="Speech Bubble: Rectangle with Corners Rounded 20" o:spid="_x0000_s1036" type="#_x0000_t62" style="position:absolute;left:0;text-align:left;margin-left:0;margin-top:126.1pt;width:406.3pt;height:105.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2l+AIAAHAGAAAOAAAAZHJzL2Uyb0RvYy54bWysVd9P2zAQfp+0/8Hy+0hT2lIqUtQVMU1C&#10;gCgTz65zbjI5tmc7Tbu/nrOTtN1AmzSNB3PO3X2+++5Hr653lSRbsK7UKqPp2YASUFznpdpk9Nvz&#10;7acpJc4zlTOpFWR0D45ezz9+uGrMDIa60DIHSxBEuVljMlp4b2ZJ4ngBFXNn2oBCpdC2Yh6vdpPk&#10;ljWIXslkOBhMkkbb3FjNwTn8etMq6TziCwHcPwjhwBOZUYzNx9PGcx3OZH7FZhvLTFHyLgz2D1FU&#10;rFT46AHqhnlGalu+gapKbrXTwp9xXSVaiJJDzAGzSQe/ZbMqmIGYC5LjzIEm9/9g+f320ZIyz+gQ&#10;6VGswhqtDAAvyOd6vZYwI09IIlMbCaQpfUGW2iqsN3nStcohJ+iHJDbGzRBrZR5td3MoBkZ2wlbh&#10;P+ZKdpH4/YF42HnC8eM4nQwwfUo46tLz88vpOKImR3djnf8CuiJByGgD+QZiCCG8JZNS1z5WgG3v&#10;nI+lyLt8WP49pURUEiu7ZZKML0bTy67yJzbDU5vRdDhK39qcn9qkk8nkIthgmN2rKPWBhhCclmV+&#10;W0oZL6GnYSktwSAyut5EfPT4xUqqvzkyzkH5UffwiTNCBe8k1KJlP0p+LyFgSvUEAkuNfA8jU3HI&#10;jgG1uGmrKlgObZzjAf71j/UpxJwjYEAWmOEBuwPoLVuQHrslq7MPrhBn9OA8+FNgrfPBI76slT84&#10;V6XS9j0A6XuqRWvfk9RSE1jyu/UujgF2YdfAa53vcTasbpeGM/y2xN67Y84/Mou9hP2Km88/4CGk&#10;bjKqO4mSQtuf730P9ji8qKWkwa2TUfejZhYokV8VjvVlOhqFNRUvo/FFGEp7qlmfalRdLTW2EnY3&#10;RhfFYO9lLwqrqxdckIvwKqqY4vh2Rrm3/WXp222IK5bDYhHNcDUZ5u/UyvAAHogOXf28e2HWdAPo&#10;cXbvdb+hugFoK3S0DZ5KL2qvRemDMlDd8tpdcK3FXupWcNibp/dodfyhmL8CAAD//wMAUEsDBBQA&#10;BgAIAAAAIQD7/c8f3QAAAAgBAAAPAAAAZHJzL2Rvd25yZXYueG1sTI/BTsMwEETvSPyDtUjcqFOX&#10;Rm3IpiqoHFFF4dLbNjZJ1HgdbLdN/x5zguNoRjNvytVoe3E2PnSOEaaTDITh2umOG4TPj9eHBYgQ&#10;iTX1jg3C1QRYVbc3JRXaXfjdnHexEamEQ0EIbYxDIWWoW2MpTNxgOHlfzluKSfpGak+XVG57qbIs&#10;l5Y6TgstDealNfVxd7IIQa73m81s2NL39RiWWxfn/vkN8f5uXD+BiGaMf2H4xU/oUCWmgzuxDqJH&#10;SEcigporBSLZi6nKQRwQHvOZAlmV8v+B6gcAAP//AwBQSwECLQAUAAYACAAAACEAtoM4kv4AAADh&#10;AQAAEwAAAAAAAAAAAAAAAAAAAAAAW0NvbnRlbnRfVHlwZXNdLnhtbFBLAQItABQABgAIAAAAIQA4&#10;/SH/1gAAAJQBAAALAAAAAAAAAAAAAAAAAC8BAABfcmVscy8ucmVsc1BLAQItABQABgAIAAAAIQBx&#10;6v2l+AIAAHAGAAAOAAAAAAAAAAAAAAAAAC4CAABkcnMvZTJvRG9jLnhtbFBLAQItABQABgAIAAAA&#10;IQD7/c8f3QAAAAgBAAAPAAAAAAAAAAAAAAAAAFIFAABkcnMvZG93bnJldi54bWxQSwUGAAAAAAQA&#10;BADzAAAAXAYAAAAA&#10;" adj="23218,21220" fillcolor="white [3212]" strokecolor="#ffc000 [3207]" strokeweight="1pt">
                <v:textbox>
                  <w:txbxContent>
                    <w:p w14:paraId="473A1789" w14:textId="77777777" w:rsidR="00582526" w:rsidRPr="006D5B75" w:rsidRDefault="00582526" w:rsidP="00582526">
                      <w:pPr>
                        <w:rPr>
                          <w:rFonts w:ascii="Calibri" w:hAnsi="Calibri" w:cs="Calibri"/>
                          <w:color w:val="000000"/>
                          <w:sz w:val="24"/>
                          <w:szCs w:val="24"/>
                        </w:rPr>
                      </w:pPr>
                      <w:r>
                        <w:rPr>
                          <w:rFonts w:ascii="Calibri" w:hAnsi="Calibri" w:cs="Calibri"/>
                          <w:color w:val="000000"/>
                          <w:sz w:val="24"/>
                          <w:szCs w:val="24"/>
                        </w:rPr>
                        <w:t>“</w:t>
                      </w:r>
                      <w:r w:rsidRPr="006D5B75">
                        <w:rPr>
                          <w:rFonts w:ascii="Calibri" w:hAnsi="Calibri" w:cs="Calibri"/>
                          <w:color w:val="000000"/>
                          <w:sz w:val="24"/>
                          <w:szCs w:val="24"/>
                        </w:rPr>
                        <w:t>The only effective method of ensuring all educational establishments equally addressed these guidance items would be if there were standardised tests... Students and professionals could all be tested on elements required to evidence they have met these criteria.</w:t>
                      </w:r>
                      <w:r>
                        <w:rPr>
                          <w:rFonts w:ascii="Calibri" w:hAnsi="Calibri" w:cs="Calibri"/>
                          <w:color w:val="000000"/>
                          <w:sz w:val="24"/>
                          <w:szCs w:val="24"/>
                        </w:rPr>
                        <w:t>”</w:t>
                      </w:r>
                    </w:p>
                    <w:p w14:paraId="1AA5C89A" w14:textId="77777777" w:rsidR="00582526" w:rsidRPr="006D5B75" w:rsidRDefault="00582526" w:rsidP="00582526">
                      <w:pPr>
                        <w:spacing w:after="0" w:line="240" w:lineRule="auto"/>
                        <w:rPr>
                          <w:rFonts w:cstheme="minorHAnsi"/>
                          <w:b/>
                          <w:bCs/>
                          <w:i/>
                          <w:iCs/>
                          <w:color w:val="000000" w:themeColor="text1"/>
                          <w:sz w:val="24"/>
                          <w:szCs w:val="24"/>
                        </w:rPr>
                      </w:pPr>
                      <w:r w:rsidRPr="006D5B75">
                        <w:rPr>
                          <w:rFonts w:cstheme="minorHAnsi"/>
                          <w:b/>
                          <w:bCs/>
                          <w:i/>
                          <w:iCs/>
                          <w:color w:val="000000" w:themeColor="text1"/>
                          <w:sz w:val="24"/>
                          <w:szCs w:val="24"/>
                        </w:rPr>
                        <w:t>Jonathan Pilbeam, Registered Architect</w:t>
                      </w:r>
                    </w:p>
                    <w:p w14:paraId="563199C6" w14:textId="24A07FDF" w:rsidR="007B1789" w:rsidRPr="004A117E" w:rsidRDefault="007B1789" w:rsidP="007B1789">
                      <w:pPr>
                        <w:spacing w:after="0" w:line="240" w:lineRule="auto"/>
                        <w:rPr>
                          <w:rFonts w:cstheme="minorHAnsi"/>
                          <w:b/>
                          <w:bCs/>
                          <w:i/>
                          <w:iCs/>
                          <w:color w:val="000000" w:themeColor="text1"/>
                          <w:sz w:val="24"/>
                          <w:szCs w:val="24"/>
                        </w:rPr>
                      </w:pPr>
                    </w:p>
                  </w:txbxContent>
                </v:textbox>
                <w10:wrap type="topAndBottom" anchorx="margin"/>
              </v:shape>
            </w:pict>
          </mc:Fallback>
        </mc:AlternateContent>
      </w:r>
      <w:r w:rsidR="00285A25" w:rsidRPr="00A4438A">
        <w:rPr>
          <w:rFonts w:cstheme="minorHAnsi"/>
          <w:noProof/>
          <w:sz w:val="24"/>
          <w:szCs w:val="24"/>
        </w:rPr>
        <mc:AlternateContent>
          <mc:Choice Requires="wps">
            <w:drawing>
              <wp:anchor distT="0" distB="0" distL="114300" distR="114300" simplePos="0" relativeHeight="251706368" behindDoc="0" locked="0" layoutInCell="1" allowOverlap="1" wp14:anchorId="285D9316" wp14:editId="28E0809F">
                <wp:simplePos x="0" y="0"/>
                <wp:positionH relativeFrom="column">
                  <wp:posOffset>0</wp:posOffset>
                </wp:positionH>
                <wp:positionV relativeFrom="paragraph">
                  <wp:posOffset>180340</wp:posOffset>
                </wp:positionV>
                <wp:extent cx="5648960" cy="1061720"/>
                <wp:effectExtent l="285750" t="0" r="27940" b="24130"/>
                <wp:wrapTopAndBottom/>
                <wp:docPr id="17" name="Speech Bubble: Rectangle with Corners Rounded 17"/>
                <wp:cNvGraphicFramePr/>
                <a:graphic xmlns:a="http://schemas.openxmlformats.org/drawingml/2006/main">
                  <a:graphicData uri="http://schemas.microsoft.com/office/word/2010/wordprocessingShape">
                    <wps:wsp>
                      <wps:cNvSpPr/>
                      <wps:spPr>
                        <a:xfrm>
                          <a:off x="0" y="0"/>
                          <a:ext cx="5648960" cy="1061720"/>
                        </a:xfrm>
                        <a:prstGeom prst="wedgeRoundRectCallout">
                          <a:avLst>
                            <a:gd name="adj1" fmla="val -54671"/>
                            <a:gd name="adj2" fmla="val 45292"/>
                            <a:gd name="adj3" fmla="val 16667"/>
                          </a:avLst>
                        </a:prstGeom>
                        <a:solidFill>
                          <a:sysClr val="window" lastClr="FFFFFF"/>
                        </a:solidFill>
                        <a:ln w="12700" cap="flat" cmpd="sng" algn="ctr">
                          <a:solidFill>
                            <a:srgbClr val="FFC000"/>
                          </a:solidFill>
                          <a:prstDash val="solid"/>
                          <a:miter lim="800000"/>
                        </a:ln>
                        <a:effectLst/>
                      </wps:spPr>
                      <wps:txbx>
                        <w:txbxContent>
                          <w:p w14:paraId="7B9D8E6F" w14:textId="77777777" w:rsidR="00285A25" w:rsidRPr="004A117E" w:rsidRDefault="00285A25" w:rsidP="00285A25">
                            <w:pPr>
                              <w:spacing w:after="0" w:line="240" w:lineRule="auto"/>
                              <w:rPr>
                                <w:rFonts w:ascii="Calibri" w:eastAsia="Times New Roman" w:hAnsi="Calibri" w:cs="Calibri"/>
                                <w:color w:val="000000"/>
                                <w:sz w:val="24"/>
                                <w:szCs w:val="24"/>
                                <w:lang w:eastAsia="en-GB"/>
                              </w:rPr>
                            </w:pPr>
                            <w:r w:rsidRPr="004A117E">
                              <w:rPr>
                                <w:rFonts w:ascii="Calibri" w:hAnsi="Calibri" w:cs="Calibri"/>
                                <w:color w:val="000000"/>
                                <w:sz w:val="24"/>
                                <w:szCs w:val="24"/>
                              </w:rPr>
                              <w:t>“The guidance must also set clear targets to demonstrate net zero carbon design competencies at GA2 and PCs, to ensure that necessary skills are obtained and not just knowledge.”</w:t>
                            </w:r>
                          </w:p>
                          <w:p w14:paraId="666E3467" w14:textId="77777777" w:rsidR="00285A25" w:rsidRPr="004A117E" w:rsidRDefault="00285A25" w:rsidP="00285A25">
                            <w:pPr>
                              <w:spacing w:after="0" w:line="240" w:lineRule="auto"/>
                              <w:rPr>
                                <w:rFonts w:cstheme="minorHAnsi"/>
                                <w:b/>
                                <w:bCs/>
                                <w:i/>
                                <w:iCs/>
                                <w:color w:val="000000" w:themeColor="text1"/>
                                <w:sz w:val="24"/>
                                <w:szCs w:val="24"/>
                              </w:rPr>
                            </w:pPr>
                            <w:proofErr w:type="spellStart"/>
                            <w:r w:rsidRPr="004A117E">
                              <w:rPr>
                                <w:rFonts w:cstheme="minorHAnsi"/>
                                <w:b/>
                                <w:bCs/>
                                <w:i/>
                                <w:iCs/>
                                <w:color w:val="000000" w:themeColor="text1"/>
                                <w:sz w:val="24"/>
                                <w:szCs w:val="24"/>
                              </w:rPr>
                              <w:t>SSoA</w:t>
                            </w:r>
                            <w:proofErr w:type="spellEnd"/>
                            <w:r w:rsidRPr="004A117E">
                              <w:rPr>
                                <w:rFonts w:cstheme="minorHAnsi"/>
                                <w:b/>
                                <w:bCs/>
                                <w:i/>
                                <w:iCs/>
                                <w:color w:val="000000" w:themeColor="text1"/>
                                <w:sz w:val="24"/>
                                <w:szCs w:val="24"/>
                              </w:rPr>
                              <w:t xml:space="preserve"> Students for Climate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D9316" id="Speech Bubble: Rectangle with Corners Rounded 17" o:spid="_x0000_s1037" type="#_x0000_t62" style="position:absolute;left:0;text-align:left;margin-left:0;margin-top:14.2pt;width:444.8pt;height:8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b7L2QIAAMIFAAAOAAAAZHJzL2Uyb0RvYy54bWysVFtP2zAUfp+0/2D5HXJZm0JFirqiTpMQ&#10;IMrEs+M4iSffZrtNu1+/YyeUMnia1of02D7X7zvnXF3vpUA7Zh3XqsTZeYoRU1TXXLUl/vG0PrvA&#10;yHmiaiK0YiU+MIevF58/XfVmznLdaVEzi8CJcvPelLjz3syTxNGOSeLOtWEKHhttJfFwtG1SW9KD&#10;dymSPE2LpNe2NlZT5hzc3gyPeBH9Nw2j/r5pHPNIlBhy8/Fr47cK32RxReatJabjdEyD/EMWknAF&#10;QY+ubognaGv5O1eSU6udbvw51TLRTcMpizVANVn6VzWbjhgWawFwnDnC5P6fW3q3e7CI18DdDCNF&#10;JHC0MYzRDn3dVpVgc/QIIBLVCoZ67ju00lYB3+hRb1XNagR2AGJv3Bx8bcyDHU8OxIDIvrEy/EOt&#10;aB+BPxyBZ3uPKFxOi8nFZQH8UHjL0iKb5ZGa5NXcWOe/MS1REErcs7plMYWQ3ooIobc+MkB2t85H&#10;KuqxHlL/zDBqpABmd0Sgs+mkmGUj9SdK+anSZJpf5u91vpzqZEVRxOohzzEsSC+ZhhycFrxecyHi&#10;4eBWwiJIAfLnqtY9RoI4D5clXsdfCAgu3pgJhXpAJZ+lASACQ9II4kGUBmhzqsWIiBamj3obEXhj&#10;7WxbHaOu16sUvHwQJCR9Q1w3ZBc9DMVL7mFABZclvgDbo7VQoSQWRwwADy5DDwysB8nvq/3QWBHq&#10;cFXp+gDdZvUwhs7QNYe4t4DBA7HADhQIu8Tfw6cRGqrWo4RRp+3vj+6DPowDvGLUwxwDIr+2xDKA&#10;9ruCQbnMJpMw+PEwmYbGQvb0pTp9UVu50kAP9AtkF8Wg78WL2Fgtn2HlLENUeCKKQuwB+/Gw8sN+&#10;gaVF2XIZ1WDYDfG3amNocB6gC4g/7Z+JNWNLe5iGO/0y82NHDVS96gZLpZdbrxt+BH3AdWQAFkXs&#10;oXGphU10eo5ar6t38QcAAP//AwBQSwMEFAAGAAgAAAAhAFC98gXfAAAABwEAAA8AAABkcnMvZG93&#10;bnJldi54bWxMj09Lw0AUxO+C32F5gje7MdiQpNmUIlQQ/ENr6XmbfSap2bchu2lTP73Pkx6HGWZ+&#10;Uywn24kTDr51pOB+FoFAqpxpqVaw+1jfpSB80GR05wgVXNDDsry+KnRu3Jk2eNqGWnAJ+VwraELo&#10;cyl91aDVfuZ6JPY+3WB1YDnU0gz6zOW2k3EUJdLqlnih0T0+Nlh9bUerYP6yH59W2f4YNpf1e/z8&#10;enwLw7dStzfTagEi4BT+wvCLz+hQMtPBjWS86BTwkaAgTh9AsJumWQLiwLFsnoAsC/mfv/wBAAD/&#10;/wMAUEsBAi0AFAAGAAgAAAAhALaDOJL+AAAA4QEAABMAAAAAAAAAAAAAAAAAAAAAAFtDb250ZW50&#10;X1R5cGVzXS54bWxQSwECLQAUAAYACAAAACEAOP0h/9YAAACUAQAACwAAAAAAAAAAAAAAAAAvAQAA&#10;X3JlbHMvLnJlbHNQSwECLQAUAAYACAAAACEAFCm+y9kCAADCBQAADgAAAAAAAAAAAAAAAAAuAgAA&#10;ZHJzL2Uyb0RvYy54bWxQSwECLQAUAAYACAAAACEAUL3yBd8AAAAHAQAADwAAAAAAAAAAAAAAAAAz&#10;BQAAZHJzL2Rvd25yZXYueG1sUEsFBgAAAAAEAAQA8wAAAD8GAAAAAA==&#10;" adj="-1009,20583" fillcolor="window" strokecolor="#ffc000" strokeweight="1pt">
                <v:textbox>
                  <w:txbxContent>
                    <w:p w14:paraId="7B9D8E6F" w14:textId="77777777" w:rsidR="00285A25" w:rsidRPr="004A117E" w:rsidRDefault="00285A25" w:rsidP="00285A25">
                      <w:pPr>
                        <w:spacing w:after="0" w:line="240" w:lineRule="auto"/>
                        <w:rPr>
                          <w:rFonts w:ascii="Calibri" w:eastAsia="Times New Roman" w:hAnsi="Calibri" w:cs="Calibri"/>
                          <w:color w:val="000000"/>
                          <w:sz w:val="24"/>
                          <w:szCs w:val="24"/>
                          <w:lang w:eastAsia="en-GB"/>
                        </w:rPr>
                      </w:pPr>
                      <w:r w:rsidRPr="004A117E">
                        <w:rPr>
                          <w:rFonts w:ascii="Calibri" w:hAnsi="Calibri" w:cs="Calibri"/>
                          <w:color w:val="000000"/>
                          <w:sz w:val="24"/>
                          <w:szCs w:val="24"/>
                        </w:rPr>
                        <w:t>“The guidance must also set clear targets to demonstrate net zero carbon design competencies at GA2 and PCs, to ensure that necessary skills are obtained and not just knowledge.”</w:t>
                      </w:r>
                    </w:p>
                    <w:p w14:paraId="666E3467" w14:textId="77777777" w:rsidR="00285A25" w:rsidRPr="004A117E" w:rsidRDefault="00285A25" w:rsidP="00285A25">
                      <w:pPr>
                        <w:spacing w:after="0" w:line="240" w:lineRule="auto"/>
                        <w:rPr>
                          <w:rFonts w:cstheme="minorHAnsi"/>
                          <w:b/>
                          <w:bCs/>
                          <w:i/>
                          <w:iCs/>
                          <w:color w:val="000000" w:themeColor="text1"/>
                          <w:sz w:val="24"/>
                          <w:szCs w:val="24"/>
                        </w:rPr>
                      </w:pPr>
                      <w:proofErr w:type="spellStart"/>
                      <w:r w:rsidRPr="004A117E">
                        <w:rPr>
                          <w:rFonts w:cstheme="minorHAnsi"/>
                          <w:b/>
                          <w:bCs/>
                          <w:i/>
                          <w:iCs/>
                          <w:color w:val="000000" w:themeColor="text1"/>
                          <w:sz w:val="24"/>
                          <w:szCs w:val="24"/>
                        </w:rPr>
                        <w:t>SSoA</w:t>
                      </w:r>
                      <w:proofErr w:type="spellEnd"/>
                      <w:r w:rsidRPr="004A117E">
                        <w:rPr>
                          <w:rFonts w:cstheme="minorHAnsi"/>
                          <w:b/>
                          <w:bCs/>
                          <w:i/>
                          <w:iCs/>
                          <w:color w:val="000000" w:themeColor="text1"/>
                          <w:sz w:val="24"/>
                          <w:szCs w:val="24"/>
                        </w:rPr>
                        <w:t xml:space="preserve"> Students for Climate Action</w:t>
                      </w:r>
                    </w:p>
                  </w:txbxContent>
                </v:textbox>
                <w10:wrap type="topAndBottom"/>
              </v:shape>
            </w:pict>
          </mc:Fallback>
        </mc:AlternateContent>
      </w:r>
    </w:p>
    <w:p w14:paraId="670E5C75" w14:textId="4C2F86B5" w:rsidR="007B1789" w:rsidRPr="00A4438A" w:rsidRDefault="007B1789" w:rsidP="00CF2D5B">
      <w:pPr>
        <w:spacing w:after="0" w:line="240" w:lineRule="auto"/>
        <w:jc w:val="both"/>
        <w:rPr>
          <w:rFonts w:cstheme="minorHAnsi"/>
          <w:sz w:val="24"/>
          <w:szCs w:val="24"/>
        </w:rPr>
      </w:pPr>
    </w:p>
    <w:p w14:paraId="110F06CB" w14:textId="68BABB23" w:rsidR="007B1789" w:rsidRPr="00A4438A" w:rsidRDefault="00175E5F" w:rsidP="00CF2D5B">
      <w:pPr>
        <w:spacing w:after="0" w:line="240" w:lineRule="auto"/>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685888" behindDoc="0" locked="0" layoutInCell="1" allowOverlap="1" wp14:anchorId="4C62DB7A" wp14:editId="6E46A3FF">
                <wp:simplePos x="0" y="0"/>
                <wp:positionH relativeFrom="margin">
                  <wp:align>right</wp:align>
                </wp:positionH>
                <wp:positionV relativeFrom="paragraph">
                  <wp:posOffset>203779</wp:posOffset>
                </wp:positionV>
                <wp:extent cx="5648960" cy="1061720"/>
                <wp:effectExtent l="285750" t="0" r="27940" b="24130"/>
                <wp:wrapTopAndBottom/>
                <wp:docPr id="16" name="Speech Bubble: Rectangle with Corners Rounded 16"/>
                <wp:cNvGraphicFramePr/>
                <a:graphic xmlns:a="http://schemas.openxmlformats.org/drawingml/2006/main">
                  <a:graphicData uri="http://schemas.microsoft.com/office/word/2010/wordprocessingShape">
                    <wps:wsp>
                      <wps:cNvSpPr/>
                      <wps:spPr>
                        <a:xfrm>
                          <a:off x="0" y="0"/>
                          <a:ext cx="5648960" cy="1061720"/>
                        </a:xfrm>
                        <a:prstGeom prst="wedgeRoundRectCallout">
                          <a:avLst>
                            <a:gd name="adj1" fmla="val -54671"/>
                            <a:gd name="adj2" fmla="val 45292"/>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FDBD56" w14:textId="77777777" w:rsidR="00285A25" w:rsidRPr="004A117E" w:rsidRDefault="00285A25" w:rsidP="00285A25">
                            <w:pPr>
                              <w:spacing w:after="0" w:line="240" w:lineRule="auto"/>
                              <w:rPr>
                                <w:rFonts w:cstheme="minorHAnsi"/>
                                <w:sz w:val="24"/>
                                <w:szCs w:val="24"/>
                              </w:rPr>
                            </w:pPr>
                            <w:r w:rsidRPr="004A117E">
                              <w:rPr>
                                <w:rFonts w:ascii="Calibri" w:hAnsi="Calibri" w:cs="Calibri"/>
                                <w:color w:val="000000"/>
                                <w:sz w:val="24"/>
                                <w:szCs w:val="24"/>
                              </w:rPr>
                              <w:t>“</w:t>
                            </w:r>
                            <w:r>
                              <w:rPr>
                                <w:rFonts w:ascii="Calibri" w:hAnsi="Calibri" w:cs="Calibri"/>
                                <w:color w:val="000000"/>
                                <w:sz w:val="24"/>
                                <w:szCs w:val="24"/>
                              </w:rPr>
                              <w:t>A</w:t>
                            </w:r>
                            <w:r w:rsidRPr="004A117E">
                              <w:rPr>
                                <w:rFonts w:ascii="Calibri" w:hAnsi="Calibri" w:cs="Calibri"/>
                                <w:color w:val="000000"/>
                                <w:sz w:val="24"/>
                                <w:szCs w:val="24"/>
                              </w:rPr>
                              <w:t xml:space="preserve">s a term on its own sustainability is too broad.  </w:t>
                            </w:r>
                            <w:r>
                              <w:rPr>
                                <w:rFonts w:ascii="Calibri" w:hAnsi="Calibri" w:cs="Calibri"/>
                                <w:color w:val="000000"/>
                                <w:sz w:val="24"/>
                                <w:szCs w:val="24"/>
                              </w:rPr>
                              <w:t>G</w:t>
                            </w:r>
                            <w:r w:rsidRPr="004A117E">
                              <w:rPr>
                                <w:rFonts w:ascii="Calibri" w:hAnsi="Calibri" w:cs="Calibri"/>
                                <w:color w:val="000000"/>
                                <w:sz w:val="24"/>
                                <w:szCs w:val="24"/>
                              </w:rPr>
                              <w:t>uidance must clarify what form or forms of sustainability are being proposed; environmental, economic, material, and/or cultural.”</w:t>
                            </w:r>
                          </w:p>
                          <w:p w14:paraId="3C555F30" w14:textId="77777777" w:rsidR="00285A25" w:rsidRPr="004A117E" w:rsidRDefault="00285A25" w:rsidP="00285A25">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Bob Sheil, Academic (registered architect)</w:t>
                            </w:r>
                          </w:p>
                          <w:p w14:paraId="2A107E66" w14:textId="3C565B6A" w:rsidR="007B1789" w:rsidRPr="004A117E" w:rsidRDefault="007B1789" w:rsidP="004A117E">
                            <w:pPr>
                              <w:spacing w:after="0" w:line="240" w:lineRule="auto"/>
                              <w:rPr>
                                <w:rFonts w:cstheme="minorHAnsi"/>
                                <w:b/>
                                <w:bCs/>
                                <w:i/>
                                <w:i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2DB7A" id="Speech Bubble: Rectangle with Corners Rounded 16" o:spid="_x0000_s1038" type="#_x0000_t62" style="position:absolute;left:0;text-align:left;margin-left:393.6pt;margin-top:16.05pt;width:444.8pt;height:83.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VW9wIAAHEGAAAOAAAAZHJzL2Uyb0RvYy54bWysVd9v2jAQfp+0/8Hye5uEQdqihopRdZpU&#10;rVXp1Gfj2CST4/NsQ2B//c5OAmytNmkaD8b23X2+++5Hrm92jSJbYV0NuqDZeUqJ0BzKWq8L+vX5&#10;7uySEueZLpkCLQq6F47ezN6/u27NVIygAlUKSxBEu2lrClp5b6ZJ4nglGubOwQiNQgm2YR6Pdp2U&#10;lrWI3qhklKZ50oItjQUunMPb205IZxFfSsH9g5ROeKIKir75uNq4rsKazK7ZdG2ZqWreu8H+wYuG&#10;1RofPUDdMs/IxtavoJqaW3Ag/TmHJgEpay5iDBhNlv4WzbJiRsRYkBxnDjS5/wfLv2wfLalLzF1O&#10;iWYN5mhphOAV+bhZrZSYkickkem1EqStfUUWYDXmmzzBRpeiJGiHJLbGTRFraR5tf3K4DYzspG3C&#10;P8ZKdpH4/YF4sfOE4+UkH19e5ZgfjrIszbOLUUxNcjQ31vlPAhoSNgVtRbkW0YXg3oIpBRsfM8C2&#10;987HVJR9PKz8llEiG4WZ3TJFzibj/CLrU3+iNDpVGk9GV6PXOh9OdbI8zy+CDvrZP4u7wdPggwNV&#10;l3e1UvEQiloslCXoRUFX6+gDWvyipfTfDBnnQvtx//CJMUIF6yQko6M/7vxeiYCp9JOQmGskfBSp&#10;il12dKjDzTpRxUrR+TlJ8Tc8NoQQY46AAVlihAfsHmDQ7EAG7I6sXj+YitikB+P0T451xgeL+DJo&#10;fzBuag32LQDlB6plpz+Q1FETWPK71a7rg5j1cLWCco/NYaGbGs7wuxqL7545/8gsFhMWLI4+/4CL&#10;VNAWFPodJRXYH2/dB33sXpRS0uLYKaj7vmFWUKI+a+zrq2w8DnMqHsaT0AfEnkpWpxK9aRaApYTl&#10;jd7FbdD3athKC80LTsh5eBVFTHN8u6Dc2+Gw8N04xBnLxXwe1XA2Gebv9dLwAB6IDlX9vHth1vQd&#10;6LF5v8AwovoG6DJ01A2WGuYbD7L2QXjktT/gXIu11M/gMDhPz1Hr+KWY/QQAAP//AwBQSwMEFAAG&#10;AAgAAAAhAMTM+ZLcAAAABwEAAA8AAABkcnMvZG93bnJldi54bWxMj09PhDAUxO8mfofmmXhzyy4J&#10;AlI2xMR4NLuSPRf6luLSV0LLH7+99aTHyUxmflMcNzOwBSfXWxKw30XAkFqreuoE1J9vTykw5yUp&#10;OVhCAd/o4Fje3xUyV3alEy5n37FQQi6XArT3Y865azUa6XZ2RAre1U5G+iCnjqtJrqHcDPwQRQk3&#10;sqewoOWIrxrb23k2Am7Pa1JXcfL1rpe2ny/1R1OdrkI8PmzVCzCPm/8Lwy9+QIcyMDV2JuXYICAc&#10;8QLiwx5YcNM0S4A1IZZlMfCy4P/5yx8AAAD//wMAUEsBAi0AFAAGAAgAAAAhALaDOJL+AAAA4QEA&#10;ABMAAAAAAAAAAAAAAAAAAAAAAFtDb250ZW50X1R5cGVzXS54bWxQSwECLQAUAAYACAAAACEAOP0h&#10;/9YAAACUAQAACwAAAAAAAAAAAAAAAAAvAQAAX3JlbHMvLnJlbHNQSwECLQAUAAYACAAAACEAaj1F&#10;VvcCAABxBgAADgAAAAAAAAAAAAAAAAAuAgAAZHJzL2Uyb0RvYy54bWxQSwECLQAUAAYACAAAACEA&#10;xMz5ktwAAAAHAQAADwAAAAAAAAAAAAAAAABRBQAAZHJzL2Rvd25yZXYueG1sUEsFBgAAAAAEAAQA&#10;8wAAAFoGAAAAAA==&#10;" adj="-1009,20583" fillcolor="white [3212]" strokecolor="#ffc000 [3207]" strokeweight="1pt">
                <v:textbox>
                  <w:txbxContent>
                    <w:p w14:paraId="57FDBD56" w14:textId="77777777" w:rsidR="00285A25" w:rsidRPr="004A117E" w:rsidRDefault="00285A25" w:rsidP="00285A25">
                      <w:pPr>
                        <w:spacing w:after="0" w:line="240" w:lineRule="auto"/>
                        <w:rPr>
                          <w:rFonts w:cstheme="minorHAnsi"/>
                          <w:sz w:val="24"/>
                          <w:szCs w:val="24"/>
                        </w:rPr>
                      </w:pPr>
                      <w:r w:rsidRPr="004A117E">
                        <w:rPr>
                          <w:rFonts w:ascii="Calibri" w:hAnsi="Calibri" w:cs="Calibri"/>
                          <w:color w:val="000000"/>
                          <w:sz w:val="24"/>
                          <w:szCs w:val="24"/>
                        </w:rPr>
                        <w:t>“</w:t>
                      </w:r>
                      <w:r>
                        <w:rPr>
                          <w:rFonts w:ascii="Calibri" w:hAnsi="Calibri" w:cs="Calibri"/>
                          <w:color w:val="000000"/>
                          <w:sz w:val="24"/>
                          <w:szCs w:val="24"/>
                        </w:rPr>
                        <w:t>A</w:t>
                      </w:r>
                      <w:r w:rsidRPr="004A117E">
                        <w:rPr>
                          <w:rFonts w:ascii="Calibri" w:hAnsi="Calibri" w:cs="Calibri"/>
                          <w:color w:val="000000"/>
                          <w:sz w:val="24"/>
                          <w:szCs w:val="24"/>
                        </w:rPr>
                        <w:t xml:space="preserve">s a term on its own sustainability is too broad.  </w:t>
                      </w:r>
                      <w:r>
                        <w:rPr>
                          <w:rFonts w:ascii="Calibri" w:hAnsi="Calibri" w:cs="Calibri"/>
                          <w:color w:val="000000"/>
                          <w:sz w:val="24"/>
                          <w:szCs w:val="24"/>
                        </w:rPr>
                        <w:t>G</w:t>
                      </w:r>
                      <w:r w:rsidRPr="004A117E">
                        <w:rPr>
                          <w:rFonts w:ascii="Calibri" w:hAnsi="Calibri" w:cs="Calibri"/>
                          <w:color w:val="000000"/>
                          <w:sz w:val="24"/>
                          <w:szCs w:val="24"/>
                        </w:rPr>
                        <w:t>uidance must clarify what form or forms of sustainability are being proposed; environmental, economic, material, and/or cultural.”</w:t>
                      </w:r>
                    </w:p>
                    <w:p w14:paraId="3C555F30" w14:textId="77777777" w:rsidR="00285A25" w:rsidRPr="004A117E" w:rsidRDefault="00285A25" w:rsidP="00285A25">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Bob Sheil, Academic (registered architect)</w:t>
                      </w:r>
                    </w:p>
                    <w:p w14:paraId="2A107E66" w14:textId="3C565B6A" w:rsidR="007B1789" w:rsidRPr="004A117E" w:rsidRDefault="007B1789" w:rsidP="004A117E">
                      <w:pPr>
                        <w:spacing w:after="0" w:line="240" w:lineRule="auto"/>
                        <w:rPr>
                          <w:rFonts w:cstheme="minorHAnsi"/>
                          <w:b/>
                          <w:bCs/>
                          <w:i/>
                          <w:iCs/>
                          <w:color w:val="000000" w:themeColor="text1"/>
                          <w:sz w:val="24"/>
                          <w:szCs w:val="24"/>
                        </w:rPr>
                      </w:pPr>
                    </w:p>
                  </w:txbxContent>
                </v:textbox>
                <w10:wrap type="topAndBottom" anchorx="margin"/>
              </v:shape>
            </w:pict>
          </mc:Fallback>
        </mc:AlternateContent>
      </w:r>
    </w:p>
    <w:p w14:paraId="6B7D2059" w14:textId="06724481" w:rsidR="001C3CFB" w:rsidRDefault="001C3CFB" w:rsidP="00CF2D5B">
      <w:pPr>
        <w:spacing w:after="0" w:line="240" w:lineRule="auto"/>
        <w:jc w:val="both"/>
        <w:rPr>
          <w:rFonts w:cstheme="minorHAnsi"/>
          <w:sz w:val="24"/>
          <w:szCs w:val="24"/>
        </w:rPr>
      </w:pPr>
    </w:p>
    <w:p w14:paraId="247FC519" w14:textId="1205E694" w:rsidR="00175E5F" w:rsidRDefault="00175E5F" w:rsidP="00CF2D5B">
      <w:pPr>
        <w:spacing w:after="0" w:line="240" w:lineRule="auto"/>
        <w:jc w:val="both"/>
        <w:rPr>
          <w:rFonts w:cstheme="minorHAnsi"/>
          <w:sz w:val="24"/>
          <w:szCs w:val="24"/>
        </w:rPr>
      </w:pPr>
    </w:p>
    <w:p w14:paraId="33F18B86" w14:textId="12B597A8" w:rsidR="0083221C" w:rsidRPr="005D4BE3" w:rsidRDefault="0083221C" w:rsidP="00CF2D5B">
      <w:pPr>
        <w:spacing w:after="120" w:line="276" w:lineRule="auto"/>
        <w:jc w:val="both"/>
        <w:rPr>
          <w:rFonts w:cstheme="minorHAnsi"/>
          <w:b/>
          <w:bCs/>
          <w:sz w:val="24"/>
          <w:szCs w:val="24"/>
        </w:rPr>
      </w:pPr>
      <w:r w:rsidRPr="005D4BE3">
        <w:rPr>
          <w:rFonts w:cstheme="minorHAnsi"/>
          <w:b/>
          <w:bCs/>
          <w:sz w:val="24"/>
          <w:szCs w:val="24"/>
        </w:rPr>
        <w:t xml:space="preserve">Implementation </w:t>
      </w:r>
    </w:p>
    <w:p w14:paraId="39EF0C88" w14:textId="1D0D8E05" w:rsidR="00AA7A07" w:rsidRDefault="00334118" w:rsidP="00CF2D5B">
      <w:pPr>
        <w:pStyle w:val="ListParagraph"/>
        <w:numPr>
          <w:ilvl w:val="1"/>
          <w:numId w:val="34"/>
        </w:numPr>
        <w:spacing w:after="120" w:line="276" w:lineRule="auto"/>
        <w:ind w:left="567" w:hanging="567"/>
        <w:jc w:val="both"/>
        <w:rPr>
          <w:rFonts w:cstheme="minorHAnsi"/>
          <w:sz w:val="24"/>
          <w:szCs w:val="24"/>
        </w:rPr>
      </w:pPr>
      <w:r w:rsidRPr="00334118">
        <w:rPr>
          <w:rFonts w:cstheme="minorHAnsi"/>
          <w:sz w:val="24"/>
          <w:szCs w:val="24"/>
        </w:rPr>
        <w:t xml:space="preserve">Given the </w:t>
      </w:r>
      <w:r w:rsidR="00E3353A">
        <w:rPr>
          <w:rFonts w:cstheme="minorHAnsi"/>
          <w:sz w:val="24"/>
          <w:szCs w:val="24"/>
        </w:rPr>
        <w:t>urgency</w:t>
      </w:r>
      <w:r w:rsidR="00E3353A" w:rsidRPr="00334118">
        <w:rPr>
          <w:rFonts w:cstheme="minorHAnsi"/>
          <w:sz w:val="24"/>
          <w:szCs w:val="24"/>
        </w:rPr>
        <w:t xml:space="preserve"> </w:t>
      </w:r>
      <w:r w:rsidRPr="00334118">
        <w:rPr>
          <w:rFonts w:cstheme="minorHAnsi"/>
          <w:sz w:val="24"/>
          <w:szCs w:val="24"/>
        </w:rPr>
        <w:t>of the issues within this guidance,</w:t>
      </w:r>
      <w:r w:rsidR="00796706">
        <w:rPr>
          <w:rFonts w:cstheme="minorHAnsi"/>
          <w:sz w:val="24"/>
          <w:szCs w:val="24"/>
        </w:rPr>
        <w:t xml:space="preserve"> we stated ou</w:t>
      </w:r>
      <w:r w:rsidR="00E8432E">
        <w:rPr>
          <w:rFonts w:cstheme="minorHAnsi"/>
          <w:sz w:val="24"/>
          <w:szCs w:val="24"/>
        </w:rPr>
        <w:t>r</w:t>
      </w:r>
      <w:r w:rsidRPr="00334118">
        <w:rPr>
          <w:rFonts w:cstheme="minorHAnsi"/>
          <w:sz w:val="24"/>
          <w:szCs w:val="24"/>
        </w:rPr>
        <w:t xml:space="preserve"> intention</w:t>
      </w:r>
      <w:r w:rsidR="00796706">
        <w:rPr>
          <w:rFonts w:cstheme="minorHAnsi"/>
          <w:sz w:val="24"/>
          <w:szCs w:val="24"/>
        </w:rPr>
        <w:t xml:space="preserve"> </w:t>
      </w:r>
      <w:r w:rsidRPr="00334118">
        <w:rPr>
          <w:rFonts w:cstheme="minorHAnsi"/>
          <w:sz w:val="24"/>
          <w:szCs w:val="24"/>
        </w:rPr>
        <w:t xml:space="preserve">to begin incorporating it into our prescription process from September 2021. </w:t>
      </w:r>
      <w:r w:rsidR="00796706">
        <w:rPr>
          <w:rFonts w:cstheme="minorHAnsi"/>
          <w:sz w:val="24"/>
          <w:szCs w:val="24"/>
        </w:rPr>
        <w:t>We asked respondents whether they</w:t>
      </w:r>
      <w:r w:rsidRPr="00334118">
        <w:rPr>
          <w:rFonts w:cstheme="minorHAnsi"/>
          <w:sz w:val="24"/>
          <w:szCs w:val="24"/>
        </w:rPr>
        <w:t xml:space="preserve"> agree</w:t>
      </w:r>
      <w:r w:rsidR="00796706">
        <w:rPr>
          <w:rFonts w:cstheme="minorHAnsi"/>
          <w:sz w:val="24"/>
          <w:szCs w:val="24"/>
        </w:rPr>
        <w:t>d</w:t>
      </w:r>
      <w:r w:rsidRPr="00334118">
        <w:rPr>
          <w:rFonts w:cstheme="minorHAnsi"/>
          <w:sz w:val="24"/>
          <w:szCs w:val="24"/>
        </w:rPr>
        <w:t xml:space="preserve"> with this approach</w:t>
      </w:r>
      <w:r w:rsidR="00796706">
        <w:rPr>
          <w:rFonts w:cstheme="minorHAnsi"/>
          <w:sz w:val="24"/>
          <w:szCs w:val="24"/>
        </w:rPr>
        <w:t>.</w:t>
      </w:r>
    </w:p>
    <w:p w14:paraId="58F311AF" w14:textId="331DCEAE" w:rsidR="00796706" w:rsidRDefault="00796706" w:rsidP="00CF2D5B">
      <w:pPr>
        <w:pStyle w:val="ListParagraph"/>
        <w:numPr>
          <w:ilvl w:val="1"/>
          <w:numId w:val="34"/>
        </w:numPr>
        <w:spacing w:after="120" w:line="276" w:lineRule="auto"/>
        <w:ind w:left="567" w:hanging="567"/>
        <w:jc w:val="both"/>
        <w:rPr>
          <w:rFonts w:cstheme="minorHAnsi"/>
          <w:sz w:val="24"/>
          <w:szCs w:val="24"/>
        </w:rPr>
      </w:pPr>
      <w:bookmarkStart w:id="2" w:name="_Hlk76560165"/>
      <w:r>
        <w:rPr>
          <w:rFonts w:cstheme="minorHAnsi"/>
          <w:sz w:val="24"/>
          <w:szCs w:val="24"/>
        </w:rPr>
        <w:t>The majority (</w:t>
      </w:r>
      <w:r w:rsidRPr="00796706">
        <w:rPr>
          <w:rFonts w:cstheme="minorHAnsi"/>
          <w:sz w:val="24"/>
          <w:szCs w:val="24"/>
        </w:rPr>
        <w:t>69%</w:t>
      </w:r>
      <w:r>
        <w:rPr>
          <w:rFonts w:cstheme="minorHAnsi"/>
          <w:sz w:val="24"/>
          <w:szCs w:val="24"/>
        </w:rPr>
        <w:t>)</w:t>
      </w:r>
      <w:r w:rsidRPr="00796706">
        <w:rPr>
          <w:rFonts w:cstheme="minorHAnsi"/>
          <w:sz w:val="24"/>
          <w:szCs w:val="24"/>
        </w:rPr>
        <w:t xml:space="preserve"> of respondents agreed that we should begin incorporating the guidance into our prescription process from September 2021.</w:t>
      </w:r>
    </w:p>
    <w:bookmarkEnd w:id="2"/>
    <w:p w14:paraId="62F2C873" w14:textId="5194EF81" w:rsidR="00615398" w:rsidRPr="00615398" w:rsidRDefault="00615398" w:rsidP="00CF2D5B">
      <w:pPr>
        <w:pStyle w:val="ListParagraph"/>
        <w:numPr>
          <w:ilvl w:val="1"/>
          <w:numId w:val="34"/>
        </w:numPr>
        <w:spacing w:after="120" w:line="276" w:lineRule="auto"/>
        <w:ind w:left="567" w:hanging="567"/>
        <w:jc w:val="both"/>
        <w:rPr>
          <w:rFonts w:cstheme="minorHAnsi"/>
          <w:sz w:val="24"/>
          <w:szCs w:val="24"/>
        </w:rPr>
      </w:pPr>
      <w:r>
        <w:rPr>
          <w:rFonts w:cstheme="minorHAnsi"/>
          <w:sz w:val="24"/>
          <w:szCs w:val="24"/>
        </w:rPr>
        <w:t xml:space="preserve">Most </w:t>
      </w:r>
      <w:r w:rsidRPr="00615398">
        <w:rPr>
          <w:rFonts w:cstheme="minorHAnsi"/>
          <w:sz w:val="24"/>
          <w:szCs w:val="24"/>
        </w:rPr>
        <w:t xml:space="preserve">architects </w:t>
      </w:r>
      <w:r>
        <w:rPr>
          <w:rFonts w:cstheme="minorHAnsi"/>
          <w:sz w:val="24"/>
          <w:szCs w:val="24"/>
        </w:rPr>
        <w:t xml:space="preserve">who responded (73%) </w:t>
      </w:r>
      <w:r w:rsidRPr="00615398">
        <w:rPr>
          <w:rFonts w:cstheme="minorHAnsi"/>
          <w:sz w:val="24"/>
          <w:szCs w:val="24"/>
        </w:rPr>
        <w:t>agree</w:t>
      </w:r>
      <w:r>
        <w:rPr>
          <w:rFonts w:cstheme="minorHAnsi"/>
          <w:sz w:val="24"/>
          <w:szCs w:val="24"/>
        </w:rPr>
        <w:t>d</w:t>
      </w:r>
      <w:r w:rsidRPr="00615398">
        <w:rPr>
          <w:rFonts w:cstheme="minorHAnsi"/>
          <w:sz w:val="24"/>
          <w:szCs w:val="24"/>
        </w:rPr>
        <w:t xml:space="preserve"> that the guidance could</w:t>
      </w:r>
      <w:r w:rsidR="0035744B">
        <w:rPr>
          <w:rFonts w:cstheme="minorHAnsi"/>
          <w:sz w:val="24"/>
          <w:szCs w:val="24"/>
        </w:rPr>
        <w:t xml:space="preserve"> begin </w:t>
      </w:r>
      <w:proofErr w:type="gramStart"/>
      <w:r w:rsidR="0035744B">
        <w:rPr>
          <w:rFonts w:cstheme="minorHAnsi"/>
          <w:sz w:val="24"/>
          <w:szCs w:val="24"/>
        </w:rPr>
        <w:t xml:space="preserve">to </w:t>
      </w:r>
      <w:r w:rsidRPr="00615398">
        <w:rPr>
          <w:rFonts w:cstheme="minorHAnsi"/>
          <w:sz w:val="24"/>
          <w:szCs w:val="24"/>
        </w:rPr>
        <w:t xml:space="preserve"> be</w:t>
      </w:r>
      <w:proofErr w:type="gramEnd"/>
      <w:r w:rsidRPr="00615398">
        <w:rPr>
          <w:rFonts w:cstheme="minorHAnsi"/>
          <w:sz w:val="24"/>
          <w:szCs w:val="24"/>
        </w:rPr>
        <w:t xml:space="preserve"> </w:t>
      </w:r>
      <w:r w:rsidR="0035744B" w:rsidRPr="00615398">
        <w:rPr>
          <w:rFonts w:cstheme="minorHAnsi"/>
          <w:sz w:val="24"/>
          <w:szCs w:val="24"/>
        </w:rPr>
        <w:t>i</w:t>
      </w:r>
      <w:r w:rsidR="0035744B">
        <w:rPr>
          <w:rFonts w:cstheme="minorHAnsi"/>
          <w:sz w:val="24"/>
          <w:szCs w:val="24"/>
        </w:rPr>
        <w:t>ncorporated</w:t>
      </w:r>
      <w:r w:rsidR="0035744B" w:rsidRPr="00615398">
        <w:rPr>
          <w:rFonts w:cstheme="minorHAnsi"/>
          <w:sz w:val="24"/>
          <w:szCs w:val="24"/>
        </w:rPr>
        <w:t xml:space="preserve"> </w:t>
      </w:r>
      <w:r>
        <w:rPr>
          <w:rFonts w:cstheme="minorHAnsi"/>
          <w:sz w:val="24"/>
          <w:szCs w:val="24"/>
        </w:rPr>
        <w:t>on our timelines.</w:t>
      </w:r>
    </w:p>
    <w:p w14:paraId="31ECC51D" w14:textId="2F18C30D" w:rsidR="00796706" w:rsidRDefault="00796706" w:rsidP="00CF2D5B">
      <w:pPr>
        <w:pStyle w:val="ListParagraph"/>
        <w:numPr>
          <w:ilvl w:val="1"/>
          <w:numId w:val="34"/>
        </w:numPr>
        <w:spacing w:after="120" w:line="276" w:lineRule="auto"/>
        <w:ind w:left="567" w:hanging="567"/>
        <w:jc w:val="both"/>
        <w:rPr>
          <w:rFonts w:cstheme="minorHAnsi"/>
          <w:sz w:val="24"/>
          <w:szCs w:val="24"/>
        </w:rPr>
      </w:pPr>
      <w:r w:rsidRPr="00796706">
        <w:rPr>
          <w:rFonts w:cstheme="minorHAnsi"/>
          <w:sz w:val="24"/>
          <w:szCs w:val="24"/>
        </w:rPr>
        <w:t xml:space="preserve">Academics were less likely to agree. Of the 27% of respondents who did </w:t>
      </w:r>
      <w:r w:rsidRPr="00796706">
        <w:rPr>
          <w:rFonts w:cstheme="minorHAnsi"/>
          <w:sz w:val="24"/>
          <w:szCs w:val="24"/>
          <w:u w:val="single"/>
        </w:rPr>
        <w:t xml:space="preserve">not </w:t>
      </w:r>
      <w:r w:rsidRPr="00796706">
        <w:rPr>
          <w:rFonts w:cstheme="minorHAnsi"/>
          <w:sz w:val="24"/>
          <w:szCs w:val="24"/>
        </w:rPr>
        <w:t xml:space="preserve">agree with the proposed timeline, the majority (77%) were academics. </w:t>
      </w:r>
      <w:r>
        <w:rPr>
          <w:rFonts w:cstheme="minorHAnsi"/>
          <w:sz w:val="24"/>
          <w:szCs w:val="24"/>
        </w:rPr>
        <w:t>Figure 3.1 below shows which stakeholders disagreed with our timeline.</w:t>
      </w:r>
    </w:p>
    <w:p w14:paraId="63FFA5CF" w14:textId="77777777" w:rsidR="00796706" w:rsidRPr="00796706" w:rsidRDefault="00796706" w:rsidP="00CF2D5B">
      <w:pPr>
        <w:jc w:val="both"/>
        <w:rPr>
          <w:rFonts w:cstheme="minorHAnsi"/>
          <w:sz w:val="24"/>
          <w:szCs w:val="24"/>
        </w:rPr>
      </w:pPr>
    </w:p>
    <w:p w14:paraId="1BB443F7" w14:textId="28638137" w:rsidR="00796706" w:rsidRDefault="00796706" w:rsidP="00CF2D5B">
      <w:pPr>
        <w:jc w:val="both"/>
        <w:rPr>
          <w:rFonts w:cstheme="minorHAnsi"/>
          <w:sz w:val="24"/>
          <w:szCs w:val="24"/>
        </w:rPr>
      </w:pPr>
      <w:r w:rsidRPr="00796706">
        <w:rPr>
          <w:rFonts w:cstheme="minorHAnsi"/>
          <w:noProof/>
          <w:sz w:val="24"/>
          <w:szCs w:val="24"/>
        </w:rPr>
        <w:lastRenderedPageBreak/>
        <w:drawing>
          <wp:inline distT="0" distB="0" distL="0" distR="0" wp14:anchorId="0C60EA7C" wp14:editId="5AF55B89">
            <wp:extent cx="5600700" cy="2543175"/>
            <wp:effectExtent l="19050" t="19050" r="19050" b="28575"/>
            <wp:docPr id="7" name="Picture 8">
              <a:extLst xmlns:a="http://schemas.openxmlformats.org/drawingml/2006/main">
                <a:ext uri="{FF2B5EF4-FFF2-40B4-BE49-F238E27FC236}">
                  <a16:creationId xmlns:a16="http://schemas.microsoft.com/office/drawing/2014/main" id="{7D7C581E-D1D1-4DA7-8F4D-09BAFA8E3A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7D7C581E-D1D1-4DA7-8F4D-09BAFA8E3AFD}"/>
                        </a:ext>
                      </a:extLst>
                    </pic:cNvPr>
                    <pic:cNvPicPr>
                      <a:picLocks noChangeAspect="1"/>
                    </pic:cNvPicPr>
                  </pic:nvPicPr>
                  <pic:blipFill>
                    <a:blip r:embed="rId14"/>
                    <a:stretch>
                      <a:fillRect/>
                    </a:stretch>
                  </pic:blipFill>
                  <pic:spPr>
                    <a:xfrm>
                      <a:off x="0" y="0"/>
                      <a:ext cx="5600700" cy="2543175"/>
                    </a:xfrm>
                    <a:prstGeom prst="rect">
                      <a:avLst/>
                    </a:prstGeom>
                    <a:ln>
                      <a:solidFill>
                        <a:schemeClr val="tx1"/>
                      </a:solidFill>
                    </a:ln>
                  </pic:spPr>
                </pic:pic>
              </a:graphicData>
            </a:graphic>
          </wp:inline>
        </w:drawing>
      </w:r>
    </w:p>
    <w:p w14:paraId="61DBF09C" w14:textId="2D07F11A" w:rsidR="00796706" w:rsidRPr="00E8432E" w:rsidRDefault="00796706" w:rsidP="00CF2D5B">
      <w:pPr>
        <w:jc w:val="both"/>
        <w:rPr>
          <w:rFonts w:cstheme="minorHAnsi"/>
          <w:i/>
          <w:iCs/>
          <w:sz w:val="24"/>
          <w:szCs w:val="24"/>
        </w:rPr>
      </w:pPr>
      <w:r w:rsidRPr="00E8432E">
        <w:rPr>
          <w:rFonts w:cstheme="minorHAnsi"/>
          <w:i/>
          <w:iCs/>
          <w:sz w:val="24"/>
          <w:szCs w:val="24"/>
        </w:rPr>
        <w:t>Figure 3.1: a breakdown of the 27% of respondents who did not agree with our proposed implementation date of September 2021.</w:t>
      </w:r>
    </w:p>
    <w:p w14:paraId="24B9344F" w14:textId="77777777" w:rsidR="00796706" w:rsidRPr="00796706" w:rsidRDefault="00796706" w:rsidP="00CF2D5B">
      <w:pPr>
        <w:jc w:val="both"/>
        <w:rPr>
          <w:rFonts w:cstheme="minorHAnsi"/>
          <w:sz w:val="24"/>
          <w:szCs w:val="24"/>
        </w:rPr>
      </w:pPr>
    </w:p>
    <w:p w14:paraId="5799BB84" w14:textId="4A392F2B" w:rsidR="00796706" w:rsidRPr="00796706" w:rsidRDefault="00796706" w:rsidP="00CF2D5B">
      <w:pPr>
        <w:pStyle w:val="ListParagraph"/>
        <w:numPr>
          <w:ilvl w:val="1"/>
          <w:numId w:val="34"/>
        </w:numPr>
        <w:spacing w:after="120" w:line="276" w:lineRule="auto"/>
        <w:ind w:left="567" w:hanging="567"/>
        <w:jc w:val="both"/>
        <w:rPr>
          <w:rFonts w:cstheme="minorHAnsi"/>
          <w:sz w:val="24"/>
          <w:szCs w:val="24"/>
        </w:rPr>
      </w:pPr>
      <w:r>
        <w:rPr>
          <w:rFonts w:cstheme="minorHAnsi"/>
          <w:sz w:val="24"/>
          <w:szCs w:val="24"/>
        </w:rPr>
        <w:t>As a stakeholder group, a</w:t>
      </w:r>
      <w:r w:rsidRPr="00796706">
        <w:rPr>
          <w:rFonts w:cstheme="minorHAnsi"/>
          <w:sz w:val="24"/>
          <w:szCs w:val="24"/>
        </w:rPr>
        <w:t xml:space="preserve">cademics </w:t>
      </w:r>
      <w:r>
        <w:rPr>
          <w:rFonts w:cstheme="minorHAnsi"/>
          <w:sz w:val="24"/>
          <w:szCs w:val="24"/>
        </w:rPr>
        <w:t>we</w:t>
      </w:r>
      <w:r w:rsidRPr="00796706">
        <w:rPr>
          <w:rFonts w:cstheme="minorHAnsi"/>
          <w:sz w:val="24"/>
          <w:szCs w:val="24"/>
        </w:rPr>
        <w:t>re split as to whether the guidance could be implemented by September 2021</w:t>
      </w:r>
      <w:r>
        <w:rPr>
          <w:rFonts w:cstheme="minorHAnsi"/>
          <w:sz w:val="24"/>
          <w:szCs w:val="24"/>
        </w:rPr>
        <w:t xml:space="preserve">. Roughly half agreed that the implementation date </w:t>
      </w:r>
      <w:r w:rsidRPr="00796706">
        <w:rPr>
          <w:rFonts w:cstheme="minorHAnsi"/>
          <w:sz w:val="24"/>
          <w:szCs w:val="24"/>
        </w:rPr>
        <w:t>(52%</w:t>
      </w:r>
      <w:r>
        <w:rPr>
          <w:rFonts w:cstheme="minorHAnsi"/>
          <w:sz w:val="24"/>
          <w:szCs w:val="24"/>
        </w:rPr>
        <w:t>) and</w:t>
      </w:r>
      <w:r w:rsidR="00615398">
        <w:rPr>
          <w:rFonts w:cstheme="minorHAnsi"/>
          <w:sz w:val="24"/>
          <w:szCs w:val="24"/>
        </w:rPr>
        <w:t xml:space="preserve"> the other half did not agree (</w:t>
      </w:r>
      <w:r w:rsidRPr="00796706">
        <w:rPr>
          <w:rFonts w:cstheme="minorHAnsi"/>
          <w:sz w:val="24"/>
          <w:szCs w:val="24"/>
        </w:rPr>
        <w:t>48%)</w:t>
      </w:r>
      <w:r w:rsidR="00615398">
        <w:rPr>
          <w:rFonts w:cstheme="minorHAnsi"/>
          <w:sz w:val="24"/>
          <w:szCs w:val="24"/>
        </w:rPr>
        <w:t>.</w:t>
      </w:r>
    </w:p>
    <w:p w14:paraId="3FBB9D88" w14:textId="40E559AD" w:rsidR="00796706" w:rsidRPr="00796706" w:rsidRDefault="00796706" w:rsidP="00CF2D5B">
      <w:pPr>
        <w:pStyle w:val="ListParagraph"/>
        <w:numPr>
          <w:ilvl w:val="1"/>
          <w:numId w:val="34"/>
        </w:numPr>
        <w:spacing w:after="120" w:line="276" w:lineRule="auto"/>
        <w:ind w:left="567" w:hanging="567"/>
        <w:jc w:val="both"/>
        <w:rPr>
          <w:rFonts w:cstheme="minorHAnsi"/>
          <w:sz w:val="24"/>
          <w:szCs w:val="24"/>
        </w:rPr>
      </w:pPr>
      <w:r w:rsidRPr="00796706">
        <w:rPr>
          <w:rFonts w:cstheme="minorHAnsi"/>
          <w:sz w:val="24"/>
          <w:szCs w:val="24"/>
        </w:rPr>
        <w:t xml:space="preserve">Of the respondents who </w:t>
      </w:r>
      <w:r w:rsidR="00615398">
        <w:rPr>
          <w:rFonts w:cstheme="minorHAnsi"/>
          <w:sz w:val="24"/>
          <w:szCs w:val="24"/>
        </w:rPr>
        <w:t>disagreed,</w:t>
      </w:r>
      <w:r w:rsidRPr="00796706">
        <w:rPr>
          <w:rFonts w:cstheme="minorHAnsi"/>
          <w:sz w:val="24"/>
          <w:szCs w:val="24"/>
        </w:rPr>
        <w:t xml:space="preserve"> approximately 50% suggested the changes could reasonably be implemented by 2022/23 academic year. The remaining 50% did not suggest an alternative</w:t>
      </w:r>
      <w:r w:rsidR="00615398">
        <w:rPr>
          <w:rFonts w:cstheme="minorHAnsi"/>
          <w:sz w:val="24"/>
          <w:szCs w:val="24"/>
        </w:rPr>
        <w:t>.</w:t>
      </w:r>
    </w:p>
    <w:p w14:paraId="29F3EA09" w14:textId="68B33738" w:rsidR="00796706" w:rsidRPr="00615398" w:rsidRDefault="00796706" w:rsidP="00CF2D5B">
      <w:pPr>
        <w:pStyle w:val="ListParagraph"/>
        <w:numPr>
          <w:ilvl w:val="1"/>
          <w:numId w:val="34"/>
        </w:numPr>
        <w:spacing w:after="120" w:line="276" w:lineRule="auto"/>
        <w:ind w:left="567" w:hanging="567"/>
        <w:jc w:val="both"/>
        <w:rPr>
          <w:rFonts w:cstheme="minorHAnsi"/>
          <w:sz w:val="24"/>
          <w:szCs w:val="24"/>
        </w:rPr>
      </w:pPr>
      <w:r w:rsidRPr="00796706">
        <w:rPr>
          <w:rFonts w:cstheme="minorHAnsi"/>
          <w:sz w:val="24"/>
          <w:szCs w:val="24"/>
        </w:rPr>
        <w:t xml:space="preserve">Respondents raised </w:t>
      </w:r>
      <w:proofErr w:type="gramStart"/>
      <w:r w:rsidRPr="00796706">
        <w:rPr>
          <w:rFonts w:cstheme="minorHAnsi"/>
          <w:sz w:val="24"/>
          <w:szCs w:val="24"/>
        </w:rPr>
        <w:t>a number of</w:t>
      </w:r>
      <w:proofErr w:type="gramEnd"/>
      <w:r w:rsidRPr="00796706">
        <w:rPr>
          <w:rFonts w:cstheme="minorHAnsi"/>
          <w:sz w:val="24"/>
          <w:szCs w:val="24"/>
        </w:rPr>
        <w:t xml:space="preserve"> concerns, including</w:t>
      </w:r>
      <w:r w:rsidR="00615398">
        <w:rPr>
          <w:rFonts w:cstheme="minorHAnsi"/>
          <w:sz w:val="24"/>
          <w:szCs w:val="24"/>
        </w:rPr>
        <w:t xml:space="preserve"> r</w:t>
      </w:r>
      <w:r w:rsidRPr="00615398">
        <w:rPr>
          <w:rFonts w:cstheme="minorHAnsi"/>
          <w:sz w:val="24"/>
          <w:szCs w:val="24"/>
        </w:rPr>
        <w:t>esources constraints</w:t>
      </w:r>
      <w:r w:rsidR="00615398">
        <w:rPr>
          <w:rFonts w:cstheme="minorHAnsi"/>
          <w:sz w:val="24"/>
          <w:szCs w:val="24"/>
        </w:rPr>
        <w:t>, and potential s</w:t>
      </w:r>
      <w:r w:rsidRPr="00615398">
        <w:rPr>
          <w:rFonts w:cstheme="minorHAnsi"/>
          <w:sz w:val="24"/>
          <w:szCs w:val="24"/>
        </w:rPr>
        <w:t>tudent dissatisfaction and staff departures</w:t>
      </w:r>
      <w:r w:rsidR="00615398">
        <w:rPr>
          <w:rFonts w:cstheme="minorHAnsi"/>
          <w:sz w:val="24"/>
          <w:szCs w:val="24"/>
        </w:rPr>
        <w:t>.</w:t>
      </w:r>
    </w:p>
    <w:p w14:paraId="56922F3D" w14:textId="2A4AFDF5" w:rsidR="00796706" w:rsidRDefault="00175E5F" w:rsidP="00CF2D5B">
      <w:pPr>
        <w:pStyle w:val="ListParagraph"/>
        <w:numPr>
          <w:ilvl w:val="1"/>
          <w:numId w:val="34"/>
        </w:numPr>
        <w:spacing w:after="120" w:line="276" w:lineRule="auto"/>
        <w:ind w:left="567" w:hanging="567"/>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692032" behindDoc="0" locked="0" layoutInCell="1" allowOverlap="1" wp14:anchorId="5F8CDA69" wp14:editId="29528682">
                <wp:simplePos x="0" y="0"/>
                <wp:positionH relativeFrom="margin">
                  <wp:align>left</wp:align>
                </wp:positionH>
                <wp:positionV relativeFrom="paragraph">
                  <wp:posOffset>865753</wp:posOffset>
                </wp:positionV>
                <wp:extent cx="5160010" cy="956945"/>
                <wp:effectExtent l="0" t="0" r="440690" b="14605"/>
                <wp:wrapTopAndBottom/>
                <wp:docPr id="21" name="Speech Bubble: Rectangle with Corners Rounded 21"/>
                <wp:cNvGraphicFramePr/>
                <a:graphic xmlns:a="http://schemas.openxmlformats.org/drawingml/2006/main">
                  <a:graphicData uri="http://schemas.microsoft.com/office/word/2010/wordprocessingShape">
                    <wps:wsp>
                      <wps:cNvSpPr/>
                      <wps:spPr>
                        <a:xfrm>
                          <a:off x="0" y="0"/>
                          <a:ext cx="5160010" cy="956945"/>
                        </a:xfrm>
                        <a:prstGeom prst="wedgeRoundRectCallout">
                          <a:avLst>
                            <a:gd name="adj1" fmla="val 57489"/>
                            <a:gd name="adj2" fmla="val 48241"/>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3BB32A" w14:textId="311B7859" w:rsidR="002F69A6" w:rsidRPr="002F69A6" w:rsidRDefault="002F69A6" w:rsidP="002F69A6">
                            <w:pPr>
                              <w:spacing w:after="0" w:line="240" w:lineRule="auto"/>
                              <w:rPr>
                                <w:rFonts w:cstheme="minorHAnsi"/>
                                <w:sz w:val="24"/>
                                <w:szCs w:val="24"/>
                              </w:rPr>
                            </w:pPr>
                            <w:r w:rsidRPr="002F69A6">
                              <w:rPr>
                                <w:rFonts w:ascii="Calibri" w:hAnsi="Calibri" w:cs="Calibri"/>
                                <w:color w:val="000000"/>
                                <w:sz w:val="24"/>
                                <w:szCs w:val="24"/>
                              </w:rPr>
                              <w:t>“</w:t>
                            </w:r>
                            <w:r>
                              <w:rPr>
                                <w:rFonts w:ascii="Calibri" w:hAnsi="Calibri" w:cs="Calibri"/>
                                <w:color w:val="000000"/>
                                <w:sz w:val="24"/>
                                <w:szCs w:val="24"/>
                              </w:rPr>
                              <w:t>T</w:t>
                            </w:r>
                            <w:r w:rsidRPr="002F69A6">
                              <w:rPr>
                                <w:rFonts w:ascii="Calibri" w:hAnsi="Calibri" w:cs="Calibri"/>
                                <w:color w:val="000000"/>
                                <w:sz w:val="24"/>
                                <w:szCs w:val="24"/>
                              </w:rPr>
                              <w:t>he expertise needs to be created first. especially in fire engineering. there simply are not enough existing experts to teach the subject in all 50 schools.”</w:t>
                            </w:r>
                          </w:p>
                          <w:p w14:paraId="11552A01" w14:textId="77777777" w:rsidR="002F69A6" w:rsidRPr="004A117E" w:rsidRDefault="002F69A6" w:rsidP="002F69A6">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Bob Sheil, Academic (registered architect)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DA69" id="Speech Bubble: Rectangle with Corners Rounded 21" o:spid="_x0000_s1039" type="#_x0000_t62" style="position:absolute;left:0;text-align:left;margin-left:0;margin-top:68.15pt;width:406.3pt;height:75.3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ZI+wIAAG8GAAAOAAAAZHJzL2Uyb0RvYy54bWysVd9P2zAQfp+0/8Hy+0hT0kIrUtQVMU1C&#10;gCgTz65jN5kcn2e7Tdlfv7OTtNmGNmkaD8aXu/t8992PXl0fakX2wroKdE7TsxElQnMoKr3N6Zfn&#10;2w+XlDjPdMEUaJHTV+Ho9eL9u6vGzMUYSlCFsARBtJs3Jqel92aeJI6XombuDIzQqJRga+ZRtNuk&#10;sKxB9Fol49FomjRgC2OBC+fw602rpIuIL6Xg/kFKJzxROcXYfDxtPDfhTBZXbL61zJQV78Jg/xBF&#10;zSqNjx6hbphnZGer36DqiltwIP0ZhzoBKSsuYg6YTTr6JZt1yYyIuSA5zhxpcv8Plt/vHy2pipyO&#10;U0o0q7FGayMEL8nH3WajxJw8IYlMb5UgTeVLsgKrsd7kCXa6EAVBPySxMW6OWGvzaDvJ4TUwcpC2&#10;Dv8xV3KIxL8eiRcHTzh+nKTTEaZPCUfdbDKdZZMAmpy8jXX+k4CahEtOG1FsRYwgRLdiSsHOxwKw&#10;/Z3zsRJFlw4rvmJqslZY2D1TZHKRXc66wg9sxkOb7HKcxbywogOb86FNOp1OL7owu1cx4D7QEIID&#10;VRW3lVJRCC0tVsoSDCKnm23ER4+frJT+myPjXGifdQ8PnBEqeCehFC358eZflQiYSj8JiZVGuseR&#10;qThjp4Ba3LRVlawQbZyTEf71j/UpxNJEwIAsMcMjdgfQW7YgPXZb084+uIo4okfn0Z8Ca52PHvFl&#10;0P7oXFca7FsAyvdUy9a+J6mlJrDkD5tDnIL0POQaPm2geMXRsNDuDGf4bYW9d8ecf2QWewnbFRef&#10;f8BDKmhyCt2NkhLs97e+B3ucXdRS0uDSyan7tmNWUKI+a5zqWZplYUtFIZtcjFGwQ81mqNG7egXY&#10;StjdGF28Bnuv+qu0UL/gflyGV1HFNMe3c8q97YWVb5chblgulstohpvJMH+n14YH8EB06Ornwwuz&#10;phtAj6N7D/2CYvM4AG2FTrbBU8Ny50FWPihPvHYCbrXYS90GDmtzKEer0+/E4gcAAAD//wMAUEsD&#10;BBQABgAIAAAAIQAIIxMJ3QAAAAgBAAAPAAAAZHJzL2Rvd25yZXYueG1sTI/BTsMwEETvSPyDtUjc&#10;qNNEhDSNUxVUjqhq4cJtGy9J1HgdbLdN/x5zguPsrGbeVKvJDOJMzveWFcxnCQjixuqeWwUf768P&#10;BQgfkDUOlknBlTys6tubCkttL7yj8z60IoawL1FBF8JYSumbjgz6mR2Jo/dlncEQpWuldniJ4WaQ&#10;aZLk0mDPsaHDkV46ao77k1Hg5fpzs8nGLX5fj36xteHRPb8pdX83rZcgAk3h7xl+8SM61JHpYE+s&#10;vRgUxCEhXrM8AxHtYp7mIA4K0uIpAVlX8v+A+gcAAP//AwBQSwECLQAUAAYACAAAACEAtoM4kv4A&#10;AADhAQAAEwAAAAAAAAAAAAAAAAAAAAAAW0NvbnRlbnRfVHlwZXNdLnhtbFBLAQItABQABgAIAAAA&#10;IQA4/SH/1gAAAJQBAAALAAAAAAAAAAAAAAAAAC8BAABfcmVscy8ucmVsc1BLAQItABQABgAIAAAA&#10;IQAVkTZI+wIAAG8GAAAOAAAAAAAAAAAAAAAAAC4CAABkcnMvZTJvRG9jLnhtbFBLAQItABQABgAI&#10;AAAAIQAIIxMJ3QAAAAgBAAAPAAAAAAAAAAAAAAAAAFUFAABkcnMvZG93bnJldi54bWxQSwUGAAAA&#10;AAQABADzAAAAXwYAAAAA&#10;" adj="23218,21220" fillcolor="white [3212]" strokecolor="#ffc000 [3207]" strokeweight="1pt">
                <v:textbox>
                  <w:txbxContent>
                    <w:p w14:paraId="543BB32A" w14:textId="311B7859" w:rsidR="002F69A6" w:rsidRPr="002F69A6" w:rsidRDefault="002F69A6" w:rsidP="002F69A6">
                      <w:pPr>
                        <w:spacing w:after="0" w:line="240" w:lineRule="auto"/>
                        <w:rPr>
                          <w:rFonts w:cstheme="minorHAnsi"/>
                          <w:sz w:val="24"/>
                          <w:szCs w:val="24"/>
                        </w:rPr>
                      </w:pPr>
                      <w:r w:rsidRPr="002F69A6">
                        <w:rPr>
                          <w:rFonts w:ascii="Calibri" w:hAnsi="Calibri" w:cs="Calibri"/>
                          <w:color w:val="000000"/>
                          <w:sz w:val="24"/>
                          <w:szCs w:val="24"/>
                        </w:rPr>
                        <w:t>“</w:t>
                      </w:r>
                      <w:r>
                        <w:rPr>
                          <w:rFonts w:ascii="Calibri" w:hAnsi="Calibri" w:cs="Calibri"/>
                          <w:color w:val="000000"/>
                          <w:sz w:val="24"/>
                          <w:szCs w:val="24"/>
                        </w:rPr>
                        <w:t>T</w:t>
                      </w:r>
                      <w:r w:rsidRPr="002F69A6">
                        <w:rPr>
                          <w:rFonts w:ascii="Calibri" w:hAnsi="Calibri" w:cs="Calibri"/>
                          <w:color w:val="000000"/>
                          <w:sz w:val="24"/>
                          <w:szCs w:val="24"/>
                        </w:rPr>
                        <w:t>he expertise needs to be created first. especially in fire engineering. there simply are not enough existing experts to teach the subject in all 50 schools.”</w:t>
                      </w:r>
                    </w:p>
                    <w:p w14:paraId="11552A01" w14:textId="77777777" w:rsidR="002F69A6" w:rsidRPr="004A117E" w:rsidRDefault="002F69A6" w:rsidP="002F69A6">
                      <w:pPr>
                        <w:spacing w:after="0" w:line="240" w:lineRule="auto"/>
                        <w:rPr>
                          <w:rFonts w:cstheme="minorHAnsi"/>
                          <w:b/>
                          <w:bCs/>
                          <w:i/>
                          <w:iCs/>
                          <w:color w:val="000000" w:themeColor="text1"/>
                          <w:sz w:val="24"/>
                          <w:szCs w:val="24"/>
                        </w:rPr>
                      </w:pPr>
                      <w:r w:rsidRPr="004A117E">
                        <w:rPr>
                          <w:rFonts w:cstheme="minorHAnsi"/>
                          <w:b/>
                          <w:bCs/>
                          <w:i/>
                          <w:iCs/>
                          <w:color w:val="000000" w:themeColor="text1"/>
                          <w:sz w:val="24"/>
                          <w:szCs w:val="24"/>
                        </w:rPr>
                        <w:t>Bob Sheil, Academic (registered architect)</w:t>
                      </w:r>
                    </w:p>
                  </w:txbxContent>
                </v:textbox>
                <w10:wrap type="topAndBottom" anchorx="margin"/>
              </v:shape>
            </w:pict>
          </mc:Fallback>
        </mc:AlternateContent>
      </w:r>
      <w:r w:rsidR="001C7C0B">
        <w:rPr>
          <w:rFonts w:cstheme="minorHAnsi"/>
          <w:sz w:val="24"/>
          <w:szCs w:val="24"/>
        </w:rPr>
        <w:t>Academics told us that while the guidance should be implemented as soon as possible, the planning, resourcing and Quality Assurance required to introduce or change modules mean that a realistic timeframe would be 12-18 months.</w:t>
      </w:r>
    </w:p>
    <w:p w14:paraId="3E4A2546" w14:textId="459D32FB" w:rsidR="0083221C" w:rsidRDefault="00D72132" w:rsidP="00CF2D5B">
      <w:pPr>
        <w:spacing w:after="0" w:line="240" w:lineRule="auto"/>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704320" behindDoc="0" locked="0" layoutInCell="1" allowOverlap="1" wp14:anchorId="31AED9D5" wp14:editId="3AB99855">
                <wp:simplePos x="0" y="0"/>
                <wp:positionH relativeFrom="margin">
                  <wp:align>left</wp:align>
                </wp:positionH>
                <wp:positionV relativeFrom="paragraph">
                  <wp:posOffset>1450809</wp:posOffset>
                </wp:positionV>
                <wp:extent cx="5160010" cy="956945"/>
                <wp:effectExtent l="0" t="0" r="440690" b="14605"/>
                <wp:wrapTopAndBottom/>
                <wp:docPr id="15" name="Speech Bubble: Rectangle with Corners Rounded 15"/>
                <wp:cNvGraphicFramePr/>
                <a:graphic xmlns:a="http://schemas.openxmlformats.org/drawingml/2006/main">
                  <a:graphicData uri="http://schemas.microsoft.com/office/word/2010/wordprocessingShape">
                    <wps:wsp>
                      <wps:cNvSpPr/>
                      <wps:spPr>
                        <a:xfrm>
                          <a:off x="0" y="0"/>
                          <a:ext cx="5160010" cy="956945"/>
                        </a:xfrm>
                        <a:prstGeom prst="wedgeRoundRectCallout">
                          <a:avLst>
                            <a:gd name="adj1" fmla="val 57489"/>
                            <a:gd name="adj2" fmla="val 48241"/>
                            <a:gd name="adj3" fmla="val 16667"/>
                          </a:avLst>
                        </a:prstGeom>
                        <a:solidFill>
                          <a:sysClr val="window" lastClr="FFFFFF"/>
                        </a:solidFill>
                        <a:ln w="12700" cap="flat" cmpd="sng" algn="ctr">
                          <a:solidFill>
                            <a:srgbClr val="FFC000"/>
                          </a:solidFill>
                          <a:prstDash val="solid"/>
                          <a:miter lim="800000"/>
                        </a:ln>
                        <a:effectLst/>
                      </wps:spPr>
                      <wps:txbx>
                        <w:txbxContent>
                          <w:p w14:paraId="5CD3427F" w14:textId="77777777" w:rsidR="00736A77" w:rsidRPr="00DF2F22" w:rsidRDefault="00736A77" w:rsidP="00736A77">
                            <w:pPr>
                              <w:rPr>
                                <w:rFonts w:ascii="Calibri" w:hAnsi="Calibri" w:cs="Calibri"/>
                                <w:color w:val="000000"/>
                                <w:sz w:val="24"/>
                                <w:szCs w:val="24"/>
                              </w:rPr>
                            </w:pPr>
                            <w:r>
                              <w:rPr>
                                <w:rFonts w:ascii="Calibri" w:hAnsi="Calibri" w:cs="Calibri"/>
                                <w:color w:val="000000"/>
                                <w:sz w:val="24"/>
                                <w:szCs w:val="24"/>
                              </w:rPr>
                              <w:t>“</w:t>
                            </w:r>
                            <w:r w:rsidRPr="00DF2F22">
                              <w:rPr>
                                <w:rFonts w:ascii="Calibri" w:hAnsi="Calibri" w:cs="Calibri"/>
                                <w:color w:val="000000"/>
                                <w:sz w:val="24"/>
                                <w:szCs w:val="24"/>
                              </w:rPr>
                              <w:t>A transformation implied by the guidance takes a lot longer. The typical UCL module change period is 18 months.</w:t>
                            </w:r>
                            <w:r>
                              <w:rPr>
                                <w:rFonts w:ascii="Calibri" w:hAnsi="Calibri" w:cs="Calibri"/>
                                <w:color w:val="000000"/>
                                <w:sz w:val="24"/>
                                <w:szCs w:val="24"/>
                              </w:rPr>
                              <w:t>”</w:t>
                            </w:r>
                          </w:p>
                          <w:p w14:paraId="2FAAF3BB" w14:textId="77777777" w:rsidR="00736A77" w:rsidRPr="00DF2F22" w:rsidRDefault="00736A77" w:rsidP="00736A77">
                            <w:pPr>
                              <w:spacing w:after="0" w:line="240" w:lineRule="auto"/>
                              <w:rPr>
                                <w:rFonts w:cstheme="minorHAnsi"/>
                                <w:b/>
                                <w:bCs/>
                                <w:i/>
                                <w:iCs/>
                                <w:color w:val="000000" w:themeColor="text1"/>
                                <w:sz w:val="24"/>
                                <w:szCs w:val="24"/>
                              </w:rPr>
                            </w:pPr>
                            <w:r w:rsidRPr="00DF2F22">
                              <w:rPr>
                                <w:rFonts w:cstheme="minorHAnsi"/>
                                <w:b/>
                                <w:bCs/>
                                <w:i/>
                                <w:iCs/>
                                <w:color w:val="000000" w:themeColor="text1"/>
                                <w:sz w:val="24"/>
                                <w:szCs w:val="24"/>
                              </w:rPr>
                              <w:t>The Bartlett School of Architecture, UCL</w:t>
                            </w:r>
                          </w:p>
                          <w:p w14:paraId="7676F5AC" w14:textId="2CE455C5" w:rsidR="0035744B" w:rsidRPr="004A117E" w:rsidRDefault="0035744B" w:rsidP="0035744B">
                            <w:pPr>
                              <w:spacing w:after="0" w:line="240" w:lineRule="auto"/>
                              <w:rPr>
                                <w:rFonts w:cstheme="minorHAnsi"/>
                                <w:b/>
                                <w:bCs/>
                                <w:i/>
                                <w:i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ED9D5" id="Speech Bubble: Rectangle with Corners Rounded 15" o:spid="_x0000_s1040" type="#_x0000_t62" style="position:absolute;left:0;text-align:left;margin-left:0;margin-top:114.25pt;width:406.3pt;height:75.3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te1wIAAMAFAAAOAAAAZHJzL2Uyb0RvYy54bWysVEtv2zAMvg/YfxB0X51keaNOkaXIMKBo&#10;i6ZDz4os2xokUZOUONmvHyU7abruNCwHhTIfIr+P5PXNQSuyF85LMDntX/UoEYZDIU2V0+/P609T&#10;SnxgpmAKjMjpUXh6s/j44bqxczGAGlQhHMEgxs8bm9M6BDvPMs9roZm/AisMKktwmgW8uiorHGsw&#10;ulbZoNcbZw24wjrgwnv8etsq6SLFL0vBw0NZehGIyinmFtLp0rmNZ7a4ZvPKMVtL3qXB/iELzaTB&#10;R8+hbllgZOfku1BacgceynDFQWdQlpKLVANW0+/9Uc2mZlakWhAcb88w+f8Xlt/vHx2RBXI3osQw&#10;jRxtrBC8Jl92260Sc/KEIDJTKUEaGWqyAmeQb/IEO1OIgqAfgthYP8dYG/vouptHMSJyKJ2O/1gr&#10;OSTgj2fgxSEQjh9H/XEPy6eEo242Gs+GKWj26m2dD18FaBKFnDaiqETKIGa3YkrBLiQC2P7Oh8RE&#10;0ZXDih99SkqtkNg9U2Q0GU5nHfEXNoNLm+F0MOy/t/l8adMfj8eTaINpdq+idEo0puBByWItlUqX&#10;o18pRzADTF+aAhpKFPMBP+Z0nX5dsDduypAGyRlMehEehiNSKhZQ1BZJ86aihKkKZ48HlwB44+1d&#10;tT2/ul6vehilzfiNWUz6lvm6zS6p2uK1DDieSuqcTtH37K1MLEmkAUO8Y8jYAS3nUQqH7eHUVl1D&#10;bKE4Yq85aIfQW76W+O4dYvDIHJKDBeImCQ94lAqwaugkSmpwv/72PdrjMKCWkganGBH5uWNOILTf&#10;DI7JrD8cxrFPl+FoMsCLu9RsLzVmp1eA9GC7YHZJjPZBncTSgX7BhbOMr6KKGY5vt9h3l1Votwuu&#10;LC6Wy2SGo25ZuDMby2PwCF1E/PnwwpztOjrgLNzDaeK7jmqperWNngaWuwClPIPe4toxgGsiNWS3&#10;0uIeurwnq9fFu/gNAAD//wMAUEsDBBQABgAIAAAAIQC5jraL3QAAAAgBAAAPAAAAZHJzL2Rvd25y&#10;ZXYueG1sTI/BTsMwEETvSPyDtUjcqFMX2hCyqQICcW7hADc33iYR9jrEbhv4eswJjqMZzbwp15Oz&#10;4khj6D0jzGcZCOLGm55bhNeXp6scRIiajbaeCeGLAqyr87NSF8afeEPHbWxFKuFQaIQuxqGQMjQd&#10;OR1mfiBO3t6PTsckx1aaUZ9SubNSZdlSOt1zWuj0QA8dNR/bg0N4f+4thRUP9ntxXb9ln/vH+l4i&#10;Xl5M9R2ISFP8C8MvfkKHKjHt/IFNEBYhHYkISuU3IJKdz9USxA5hsbpVIKtS/j9Q/QAAAP//AwBQ&#10;SwECLQAUAAYACAAAACEAtoM4kv4AAADhAQAAEwAAAAAAAAAAAAAAAAAAAAAAW0NvbnRlbnRfVHlw&#10;ZXNdLnhtbFBLAQItABQABgAIAAAAIQA4/SH/1gAAAJQBAAALAAAAAAAAAAAAAAAAAC8BAABfcmVs&#10;cy8ucmVsc1BLAQItABQABgAIAAAAIQBDyste1wIAAMAFAAAOAAAAAAAAAAAAAAAAAC4CAABkcnMv&#10;ZTJvRG9jLnhtbFBLAQItABQABgAIAAAAIQC5jraL3QAAAAgBAAAPAAAAAAAAAAAAAAAAADEFAABk&#10;cnMvZG93bnJldi54bWxQSwUGAAAAAAQABADzAAAAOwYAAAAA&#10;" adj="23218,21220" fillcolor="window" strokecolor="#ffc000" strokeweight="1pt">
                <v:textbox>
                  <w:txbxContent>
                    <w:p w14:paraId="5CD3427F" w14:textId="77777777" w:rsidR="00736A77" w:rsidRPr="00DF2F22" w:rsidRDefault="00736A77" w:rsidP="00736A77">
                      <w:pPr>
                        <w:rPr>
                          <w:rFonts w:ascii="Calibri" w:hAnsi="Calibri" w:cs="Calibri"/>
                          <w:color w:val="000000"/>
                          <w:sz w:val="24"/>
                          <w:szCs w:val="24"/>
                        </w:rPr>
                      </w:pPr>
                      <w:r>
                        <w:rPr>
                          <w:rFonts w:ascii="Calibri" w:hAnsi="Calibri" w:cs="Calibri"/>
                          <w:color w:val="000000"/>
                          <w:sz w:val="24"/>
                          <w:szCs w:val="24"/>
                        </w:rPr>
                        <w:t>“</w:t>
                      </w:r>
                      <w:r w:rsidRPr="00DF2F22">
                        <w:rPr>
                          <w:rFonts w:ascii="Calibri" w:hAnsi="Calibri" w:cs="Calibri"/>
                          <w:color w:val="000000"/>
                          <w:sz w:val="24"/>
                          <w:szCs w:val="24"/>
                        </w:rPr>
                        <w:t>A transformation implied by the guidance takes a lot longer. The typical UCL module change period is 18 months.</w:t>
                      </w:r>
                      <w:r>
                        <w:rPr>
                          <w:rFonts w:ascii="Calibri" w:hAnsi="Calibri" w:cs="Calibri"/>
                          <w:color w:val="000000"/>
                          <w:sz w:val="24"/>
                          <w:szCs w:val="24"/>
                        </w:rPr>
                        <w:t>”</w:t>
                      </w:r>
                    </w:p>
                    <w:p w14:paraId="2FAAF3BB" w14:textId="77777777" w:rsidR="00736A77" w:rsidRPr="00DF2F22" w:rsidRDefault="00736A77" w:rsidP="00736A77">
                      <w:pPr>
                        <w:spacing w:after="0" w:line="240" w:lineRule="auto"/>
                        <w:rPr>
                          <w:rFonts w:cstheme="minorHAnsi"/>
                          <w:b/>
                          <w:bCs/>
                          <w:i/>
                          <w:iCs/>
                          <w:color w:val="000000" w:themeColor="text1"/>
                          <w:sz w:val="24"/>
                          <w:szCs w:val="24"/>
                        </w:rPr>
                      </w:pPr>
                      <w:r w:rsidRPr="00DF2F22">
                        <w:rPr>
                          <w:rFonts w:cstheme="minorHAnsi"/>
                          <w:b/>
                          <w:bCs/>
                          <w:i/>
                          <w:iCs/>
                          <w:color w:val="000000" w:themeColor="text1"/>
                          <w:sz w:val="24"/>
                          <w:szCs w:val="24"/>
                        </w:rPr>
                        <w:t>The Bartlett School of Architecture, UCL</w:t>
                      </w:r>
                    </w:p>
                    <w:p w14:paraId="7676F5AC" w14:textId="2CE455C5" w:rsidR="0035744B" w:rsidRPr="004A117E" w:rsidRDefault="0035744B" w:rsidP="0035744B">
                      <w:pPr>
                        <w:spacing w:after="0" w:line="240" w:lineRule="auto"/>
                        <w:rPr>
                          <w:rFonts w:cstheme="minorHAnsi"/>
                          <w:b/>
                          <w:bCs/>
                          <w:i/>
                          <w:iCs/>
                          <w:color w:val="000000" w:themeColor="text1"/>
                          <w:sz w:val="24"/>
                          <w:szCs w:val="24"/>
                        </w:rPr>
                      </w:pPr>
                    </w:p>
                  </w:txbxContent>
                </v:textbox>
                <w10:wrap type="topAndBottom" anchorx="margin"/>
              </v:shape>
            </w:pict>
          </mc:Fallback>
        </mc:AlternateContent>
      </w:r>
    </w:p>
    <w:p w14:paraId="7AEF83A1" w14:textId="327C4D54" w:rsidR="00D72132" w:rsidRDefault="00D72132" w:rsidP="00CF2D5B">
      <w:pPr>
        <w:spacing w:after="0" w:line="240" w:lineRule="auto"/>
        <w:jc w:val="both"/>
        <w:rPr>
          <w:rFonts w:cstheme="minorHAnsi"/>
          <w:sz w:val="24"/>
          <w:szCs w:val="24"/>
        </w:rPr>
      </w:pPr>
    </w:p>
    <w:p w14:paraId="122007EE" w14:textId="1CA80BEE" w:rsidR="00D72132" w:rsidRDefault="00D72132" w:rsidP="00CF2D5B">
      <w:pPr>
        <w:spacing w:after="0" w:line="240" w:lineRule="auto"/>
        <w:jc w:val="both"/>
        <w:rPr>
          <w:rFonts w:cstheme="minorHAnsi"/>
          <w:sz w:val="24"/>
          <w:szCs w:val="24"/>
        </w:rPr>
      </w:pPr>
    </w:p>
    <w:p w14:paraId="6FDD310F" w14:textId="24EB59D6" w:rsidR="00D72132" w:rsidRPr="00A4438A" w:rsidRDefault="00D72132" w:rsidP="00CF2D5B">
      <w:pPr>
        <w:spacing w:after="0" w:line="240" w:lineRule="auto"/>
        <w:jc w:val="both"/>
        <w:rPr>
          <w:rFonts w:cstheme="minorHAnsi"/>
          <w:sz w:val="24"/>
          <w:szCs w:val="24"/>
        </w:rPr>
      </w:pPr>
    </w:p>
    <w:p w14:paraId="3C41486D" w14:textId="563B0317" w:rsidR="00796706" w:rsidRDefault="00796706" w:rsidP="00CF2D5B">
      <w:pPr>
        <w:pStyle w:val="ListParagraph"/>
        <w:numPr>
          <w:ilvl w:val="1"/>
          <w:numId w:val="34"/>
        </w:numPr>
        <w:spacing w:after="120" w:line="276" w:lineRule="auto"/>
        <w:ind w:left="567" w:hanging="567"/>
        <w:jc w:val="both"/>
        <w:rPr>
          <w:rFonts w:cstheme="minorHAnsi"/>
          <w:sz w:val="24"/>
          <w:szCs w:val="24"/>
        </w:rPr>
      </w:pPr>
      <w:bookmarkStart w:id="3" w:name="_Hlk76560287"/>
      <w:r w:rsidRPr="00334118">
        <w:rPr>
          <w:rFonts w:cstheme="minorHAnsi"/>
          <w:sz w:val="24"/>
          <w:szCs w:val="24"/>
        </w:rPr>
        <w:t>We propose</w:t>
      </w:r>
      <w:r>
        <w:rPr>
          <w:rFonts w:cstheme="minorHAnsi"/>
          <w:sz w:val="24"/>
          <w:szCs w:val="24"/>
        </w:rPr>
        <w:t>d</w:t>
      </w:r>
      <w:r w:rsidRPr="00334118">
        <w:rPr>
          <w:rFonts w:cstheme="minorHAnsi"/>
          <w:sz w:val="24"/>
          <w:szCs w:val="24"/>
        </w:rPr>
        <w:t xml:space="preserve"> that we check progress of implementation through our annual monitoring </w:t>
      </w:r>
      <w:proofErr w:type="gramStart"/>
      <w:r w:rsidRPr="00334118">
        <w:rPr>
          <w:rFonts w:cstheme="minorHAnsi"/>
          <w:sz w:val="24"/>
          <w:szCs w:val="24"/>
        </w:rPr>
        <w:t>process</w:t>
      </w:r>
      <w:r>
        <w:rPr>
          <w:rFonts w:cstheme="minorHAnsi"/>
          <w:sz w:val="24"/>
          <w:szCs w:val="24"/>
        </w:rPr>
        <w:t>, and</w:t>
      </w:r>
      <w:proofErr w:type="gramEnd"/>
      <w:r>
        <w:rPr>
          <w:rFonts w:cstheme="minorHAnsi"/>
          <w:sz w:val="24"/>
          <w:szCs w:val="24"/>
        </w:rPr>
        <w:t xml:space="preserve"> asked respondents whether they had</w:t>
      </w:r>
      <w:r w:rsidRPr="00334118">
        <w:rPr>
          <w:rFonts w:cstheme="minorHAnsi"/>
          <w:sz w:val="24"/>
          <w:szCs w:val="24"/>
        </w:rPr>
        <w:t xml:space="preserve"> any views on this proposal</w:t>
      </w:r>
      <w:r>
        <w:rPr>
          <w:rFonts w:cstheme="minorHAnsi"/>
          <w:sz w:val="24"/>
          <w:szCs w:val="24"/>
        </w:rPr>
        <w:t>.</w:t>
      </w:r>
    </w:p>
    <w:p w14:paraId="2A11EEAB" w14:textId="17375C71" w:rsidR="00615398" w:rsidRPr="00615398" w:rsidRDefault="00615398" w:rsidP="00CF2D5B">
      <w:pPr>
        <w:pStyle w:val="ListParagraph"/>
        <w:numPr>
          <w:ilvl w:val="1"/>
          <w:numId w:val="34"/>
        </w:numPr>
        <w:spacing w:after="120" w:line="276" w:lineRule="auto"/>
        <w:ind w:left="567" w:hanging="567"/>
        <w:jc w:val="both"/>
        <w:rPr>
          <w:rFonts w:cstheme="minorHAnsi"/>
          <w:sz w:val="24"/>
          <w:szCs w:val="24"/>
        </w:rPr>
      </w:pPr>
      <w:r>
        <w:rPr>
          <w:rFonts w:cstheme="minorHAnsi"/>
          <w:sz w:val="24"/>
          <w:szCs w:val="24"/>
        </w:rPr>
        <w:t>The majority (</w:t>
      </w:r>
      <w:r w:rsidRPr="00615398">
        <w:rPr>
          <w:rFonts w:cstheme="minorHAnsi"/>
          <w:sz w:val="24"/>
          <w:szCs w:val="24"/>
        </w:rPr>
        <w:t>85%</w:t>
      </w:r>
      <w:r>
        <w:rPr>
          <w:rFonts w:cstheme="minorHAnsi"/>
          <w:sz w:val="24"/>
          <w:szCs w:val="24"/>
        </w:rPr>
        <w:t>)</w:t>
      </w:r>
      <w:r w:rsidRPr="00615398">
        <w:rPr>
          <w:rFonts w:cstheme="minorHAnsi"/>
          <w:sz w:val="24"/>
          <w:szCs w:val="24"/>
        </w:rPr>
        <w:t xml:space="preserve"> of respondents agreed with our proposal. </w:t>
      </w:r>
    </w:p>
    <w:bookmarkEnd w:id="3"/>
    <w:p w14:paraId="4A763876" w14:textId="47076D45" w:rsidR="00615398" w:rsidRDefault="0035744B" w:rsidP="00CF2D5B">
      <w:pPr>
        <w:pStyle w:val="ListParagraph"/>
        <w:numPr>
          <w:ilvl w:val="1"/>
          <w:numId w:val="34"/>
        </w:numPr>
        <w:spacing w:after="120" w:line="276" w:lineRule="auto"/>
        <w:ind w:left="567" w:hanging="567"/>
        <w:jc w:val="both"/>
        <w:rPr>
          <w:rFonts w:cstheme="minorHAnsi"/>
          <w:sz w:val="24"/>
          <w:szCs w:val="24"/>
        </w:rPr>
      </w:pPr>
      <w:r>
        <w:rPr>
          <w:rFonts w:cstheme="minorHAnsi"/>
          <w:sz w:val="24"/>
          <w:szCs w:val="24"/>
        </w:rPr>
        <w:t>Some respondents commented on t</w:t>
      </w:r>
      <w:r w:rsidR="00D841BD">
        <w:rPr>
          <w:rFonts w:cstheme="minorHAnsi"/>
          <w:sz w:val="24"/>
          <w:szCs w:val="24"/>
        </w:rPr>
        <w:t>he limitations of the annual monitoring system, highlighting that it will merely check that the guidance will be covered</w:t>
      </w:r>
      <w:r>
        <w:rPr>
          <w:rFonts w:cstheme="minorHAnsi"/>
          <w:sz w:val="24"/>
          <w:szCs w:val="24"/>
        </w:rPr>
        <w:t>.  The view expressed by some respondents was that this would approach would not</w:t>
      </w:r>
      <w:r w:rsidR="00D841BD">
        <w:rPr>
          <w:rFonts w:cstheme="minorHAnsi"/>
          <w:sz w:val="24"/>
          <w:szCs w:val="24"/>
        </w:rPr>
        <w:t xml:space="preserve"> provide any feedback on the quality of delivery that c</w:t>
      </w:r>
      <w:r>
        <w:rPr>
          <w:rFonts w:cstheme="minorHAnsi"/>
          <w:sz w:val="24"/>
          <w:szCs w:val="24"/>
        </w:rPr>
        <w:t>ould</w:t>
      </w:r>
      <w:r w:rsidR="00D841BD">
        <w:rPr>
          <w:rFonts w:cstheme="minorHAnsi"/>
          <w:sz w:val="24"/>
          <w:szCs w:val="24"/>
        </w:rPr>
        <w:t xml:space="preserve"> be used to improve future </w:t>
      </w:r>
      <w:proofErr w:type="gramStart"/>
      <w:r w:rsidR="00D841BD">
        <w:rPr>
          <w:rFonts w:cstheme="minorHAnsi"/>
          <w:sz w:val="24"/>
          <w:szCs w:val="24"/>
        </w:rPr>
        <w:t>teaching, or</w:t>
      </w:r>
      <w:proofErr w:type="gramEnd"/>
      <w:r w:rsidR="00D841BD">
        <w:rPr>
          <w:rFonts w:cstheme="minorHAnsi"/>
          <w:sz w:val="24"/>
          <w:szCs w:val="24"/>
        </w:rPr>
        <w:t xml:space="preserve"> consider the quality of outcomes for students.</w:t>
      </w:r>
    </w:p>
    <w:p w14:paraId="02F7B947" w14:textId="26193C7E" w:rsidR="00D72132" w:rsidRDefault="00D72132" w:rsidP="00D72132">
      <w:pPr>
        <w:spacing w:after="120" w:line="276" w:lineRule="auto"/>
        <w:jc w:val="both"/>
        <w:rPr>
          <w:rFonts w:cstheme="minorHAnsi"/>
          <w:sz w:val="24"/>
          <w:szCs w:val="24"/>
        </w:rPr>
      </w:pPr>
      <w:r w:rsidRPr="00A4438A">
        <w:rPr>
          <w:rFonts w:cstheme="minorHAnsi"/>
          <w:noProof/>
          <w:sz w:val="24"/>
          <w:szCs w:val="24"/>
        </w:rPr>
        <mc:AlternateContent>
          <mc:Choice Requires="wps">
            <w:drawing>
              <wp:anchor distT="0" distB="0" distL="114300" distR="114300" simplePos="0" relativeHeight="251708416" behindDoc="0" locked="0" layoutInCell="1" allowOverlap="1" wp14:anchorId="0AA5985B" wp14:editId="71164F29">
                <wp:simplePos x="0" y="0"/>
                <wp:positionH relativeFrom="column">
                  <wp:posOffset>-15902</wp:posOffset>
                </wp:positionH>
                <wp:positionV relativeFrom="paragraph">
                  <wp:posOffset>197679</wp:posOffset>
                </wp:positionV>
                <wp:extent cx="5648960" cy="1290320"/>
                <wp:effectExtent l="285750" t="0" r="27940" b="24130"/>
                <wp:wrapTopAndBottom/>
                <wp:docPr id="19" name="Speech Bubble: Rectangle with Corners Rounded 19"/>
                <wp:cNvGraphicFramePr/>
                <a:graphic xmlns:a="http://schemas.openxmlformats.org/drawingml/2006/main">
                  <a:graphicData uri="http://schemas.microsoft.com/office/word/2010/wordprocessingShape">
                    <wps:wsp>
                      <wps:cNvSpPr/>
                      <wps:spPr>
                        <a:xfrm>
                          <a:off x="0" y="0"/>
                          <a:ext cx="5648960" cy="1290320"/>
                        </a:xfrm>
                        <a:prstGeom prst="wedgeRoundRectCallout">
                          <a:avLst>
                            <a:gd name="adj1" fmla="val -54671"/>
                            <a:gd name="adj2" fmla="val 45292"/>
                            <a:gd name="adj3" fmla="val 16667"/>
                          </a:avLst>
                        </a:prstGeom>
                        <a:solidFill>
                          <a:schemeClr val="bg1"/>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623344" w14:textId="77777777" w:rsidR="00F1344B" w:rsidRDefault="00F1344B" w:rsidP="00F1344B">
                            <w:pPr>
                              <w:rPr>
                                <w:rFonts w:ascii="Calibri" w:hAnsi="Calibri" w:cs="Calibri"/>
                                <w:color w:val="000000"/>
                                <w:sz w:val="24"/>
                                <w:szCs w:val="24"/>
                              </w:rPr>
                            </w:pPr>
                            <w:r>
                              <w:rPr>
                                <w:rFonts w:ascii="Calibri" w:hAnsi="Calibri" w:cs="Calibri"/>
                                <w:color w:val="000000"/>
                                <w:sz w:val="24"/>
                                <w:szCs w:val="24"/>
                              </w:rPr>
                              <w:t>“</w:t>
                            </w:r>
                            <w:r w:rsidRPr="006D5B75">
                              <w:rPr>
                                <w:rFonts w:ascii="Calibri" w:hAnsi="Calibri" w:cs="Calibri"/>
                                <w:color w:val="000000"/>
                                <w:sz w:val="24"/>
                                <w:szCs w:val="24"/>
                              </w:rPr>
                              <w:t>We question if there is enough existing knowledge amongst educators to implement this new guidance in a comprehensive way in the proposed time frame. We would like to see up-skilling of the generation that is currently responsible for educating to ensure that an adequate level of competency is being taught.</w:t>
                            </w:r>
                            <w:r>
                              <w:rPr>
                                <w:rFonts w:ascii="Calibri" w:hAnsi="Calibri" w:cs="Calibri"/>
                                <w:color w:val="000000"/>
                                <w:sz w:val="24"/>
                                <w:szCs w:val="24"/>
                              </w:rPr>
                              <w:t>”</w:t>
                            </w:r>
                          </w:p>
                          <w:p w14:paraId="7BD0D642" w14:textId="0A55858F" w:rsidR="00F1344B" w:rsidRPr="004A117E" w:rsidRDefault="00F1344B" w:rsidP="00F1344B">
                            <w:pPr>
                              <w:spacing w:after="0" w:line="240" w:lineRule="auto"/>
                              <w:rPr>
                                <w:rFonts w:cstheme="minorHAnsi"/>
                                <w:b/>
                                <w:bCs/>
                                <w:i/>
                                <w:iCs/>
                                <w:color w:val="000000" w:themeColor="text1"/>
                                <w:sz w:val="24"/>
                                <w:szCs w:val="24"/>
                              </w:rPr>
                            </w:pPr>
                            <w:proofErr w:type="spellStart"/>
                            <w:r w:rsidRPr="006D5B75">
                              <w:rPr>
                                <w:rFonts w:cstheme="minorHAnsi"/>
                                <w:b/>
                                <w:bCs/>
                                <w:i/>
                                <w:iCs/>
                                <w:color w:val="000000" w:themeColor="text1"/>
                                <w:sz w:val="24"/>
                                <w:szCs w:val="24"/>
                              </w:rPr>
                              <w:t>WestCAN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5985B" id="Speech Bubble: Rectangle with Corners Rounded 19" o:spid="_x0000_s1041" type="#_x0000_t62" style="position:absolute;left:0;text-align:left;margin-left:-1.25pt;margin-top:15.55pt;width:444.8pt;height:101.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j1O+AIAAHEGAAAOAAAAZHJzL2Uyb0RvYy54bWysVd9v2jAQfp+0/8HyexuSAi2ooWJUnSZV&#10;bVU69dk4Z5LJsT3bENhfv7OTAFurTZrGg7F9d5/vvvuR65tdLckWrKu0yml6PqAEFNdFpdY5/fpy&#10;d3ZFifNMFUxqBTndg6M3s48frhszhUyXWhZgCYIoN21MTkvvzTRJHC+hZu5cG1AoFNrWzOPRrpPC&#10;sgbRa5lkg8E4abQtjNUcnMPb21ZIZxFfCOD+UQgHnsicom8+rjauq7Ams2s2XVtmyop3brB/8KJm&#10;lcJHD1C3zDOysdUbqLriVjst/DnXdaKFqDjEGDCadPBbNMuSGYixIDnOHGhy/w+WP2yfLKkKzN2E&#10;EsVqzNHSAPCSfNqsVhKm5BlJZGotgTSVL8lCW4X5Js96owooCNohiY1xU8RamifbnRxuAyM7Yevw&#10;j7GSXSR+fyAedp5wvByNh1eTMeaHoyzNJoOLLKYmOZob6/xn0DUJm5w2UKwhuhDcWzAp9cbHDLDt&#10;vfMxFUUXDyu+pZSIWmJmt0ySs9FwfJl2qT9Ryk6VhqNskr3VuTjVScfj8WXQQT+7Z3HXexp8cFpW&#10;xV0lZTyEooaFtAS9yOlqHX1Ai1+0pPqbIeMclB92D58YI1SwTkIyWvrjzu8lBEypnkFgrpHwLFIV&#10;u+zoUIubtqKSFdD6ORrgr3+sDyHGHAEDssAID9gdQK/ZgvTYLVmdfjCF2KQH48GfHGuNDxbxZa38&#10;wbiulLbvAUjfUy1a/Z6klprAkt+tdm0fRGLD1UoXe2wOq9up4Qy/q7D47pnzT8xiMWHB4ujzj7gI&#10;qZuc6m5HSantj/fugz52L0opaXDs5NR93zALlMgvCvt6kg6HYU7Fw3B0iX1A7KlkdSpRm3qhsZSw&#10;vNG7uA36XvZbYXX9ihNyHl5FEVMc384p97Y/LHw7DnHGcpjPoxrOJsP8vVoaHsAD0aGqX3avzJqu&#10;Az0274PuR1TXAG2GjrrBUun5xmtR+SA88todcK7FWupmcBicp+eodfxSzH4CAAD//wMAUEsDBBQA&#10;BgAIAAAAIQDxhwG63gAAAAkBAAAPAAAAZHJzL2Rvd25yZXYueG1sTI9LT8MwEITvSPwHa5G4tc4D&#10;0ihkU0VIiCNqG3F2YjcJje0odh78e5YT3GY1o5lv8+OmB7aoyfXWIIT7AJgyjZW9aRGqy9suBea8&#10;MFIM1iiEb+XgWNzf5SKTdjUntZx9y6jEuEwgdN6PGeeu6ZQWbm9HZci72kkLT+fUcjmJlcr1wKMg&#10;SLgWvaGFTozqtVPN7TxrhNthTaoyTr7eu6Xp58/qoy5PV8THh618AebV5v/C8ItP6FAQU21nIx0b&#10;EHbRMyUR4jAERn6aHkjUCFH8FAMvcv7/g+IHAAD//wMAUEsBAi0AFAAGAAgAAAAhALaDOJL+AAAA&#10;4QEAABMAAAAAAAAAAAAAAAAAAAAAAFtDb250ZW50X1R5cGVzXS54bWxQSwECLQAUAAYACAAAACEA&#10;OP0h/9YAAACUAQAACwAAAAAAAAAAAAAAAAAvAQAAX3JlbHMvLnJlbHNQSwECLQAUAAYACAAAACEA&#10;T2I9TvgCAABxBgAADgAAAAAAAAAAAAAAAAAuAgAAZHJzL2Uyb0RvYy54bWxQSwECLQAUAAYACAAA&#10;ACEA8YcBut4AAAAJAQAADwAAAAAAAAAAAAAAAABSBQAAZHJzL2Rvd25yZXYueG1sUEsFBgAAAAAE&#10;AAQA8wAAAF0GAAAAAA==&#10;" adj="-1009,20583" fillcolor="white [3212]" strokecolor="#ffc000 [3207]" strokeweight="1pt">
                <v:textbox>
                  <w:txbxContent>
                    <w:p w14:paraId="18623344" w14:textId="77777777" w:rsidR="00F1344B" w:rsidRDefault="00F1344B" w:rsidP="00F1344B">
                      <w:pPr>
                        <w:rPr>
                          <w:rFonts w:ascii="Calibri" w:hAnsi="Calibri" w:cs="Calibri"/>
                          <w:color w:val="000000"/>
                          <w:sz w:val="24"/>
                          <w:szCs w:val="24"/>
                        </w:rPr>
                      </w:pPr>
                      <w:r>
                        <w:rPr>
                          <w:rFonts w:ascii="Calibri" w:hAnsi="Calibri" w:cs="Calibri"/>
                          <w:color w:val="000000"/>
                          <w:sz w:val="24"/>
                          <w:szCs w:val="24"/>
                        </w:rPr>
                        <w:t>“</w:t>
                      </w:r>
                      <w:r w:rsidRPr="006D5B75">
                        <w:rPr>
                          <w:rFonts w:ascii="Calibri" w:hAnsi="Calibri" w:cs="Calibri"/>
                          <w:color w:val="000000"/>
                          <w:sz w:val="24"/>
                          <w:szCs w:val="24"/>
                        </w:rPr>
                        <w:t>We question if there is enough existing knowledge amongst educators to implement this new guidance in a comprehensive way in the proposed time frame. We would like to see up-skilling of the generation that is currently responsible for educating to ensure that an adequate level of competency is being taught.</w:t>
                      </w:r>
                      <w:r>
                        <w:rPr>
                          <w:rFonts w:ascii="Calibri" w:hAnsi="Calibri" w:cs="Calibri"/>
                          <w:color w:val="000000"/>
                          <w:sz w:val="24"/>
                          <w:szCs w:val="24"/>
                        </w:rPr>
                        <w:t>”</w:t>
                      </w:r>
                    </w:p>
                    <w:p w14:paraId="7BD0D642" w14:textId="0A55858F" w:rsidR="00F1344B" w:rsidRPr="004A117E" w:rsidRDefault="00F1344B" w:rsidP="00F1344B">
                      <w:pPr>
                        <w:spacing w:after="0" w:line="240" w:lineRule="auto"/>
                        <w:rPr>
                          <w:rFonts w:cstheme="minorHAnsi"/>
                          <w:b/>
                          <w:bCs/>
                          <w:i/>
                          <w:iCs/>
                          <w:color w:val="000000" w:themeColor="text1"/>
                          <w:sz w:val="24"/>
                          <w:szCs w:val="24"/>
                        </w:rPr>
                      </w:pPr>
                      <w:proofErr w:type="spellStart"/>
                      <w:r w:rsidRPr="006D5B75">
                        <w:rPr>
                          <w:rFonts w:cstheme="minorHAnsi"/>
                          <w:b/>
                          <w:bCs/>
                          <w:i/>
                          <w:iCs/>
                          <w:color w:val="000000" w:themeColor="text1"/>
                          <w:sz w:val="24"/>
                          <w:szCs w:val="24"/>
                        </w:rPr>
                        <w:t>WestCAN</w:t>
                      </w:r>
                      <w:proofErr w:type="spellEnd"/>
                    </w:p>
                  </w:txbxContent>
                </v:textbox>
                <w10:wrap type="topAndBottom"/>
              </v:shape>
            </w:pict>
          </mc:Fallback>
        </mc:AlternateContent>
      </w:r>
    </w:p>
    <w:p w14:paraId="483DDE61" w14:textId="4E8E618E" w:rsidR="00D72132" w:rsidRDefault="00D72132" w:rsidP="00D72132">
      <w:pPr>
        <w:spacing w:after="120" w:line="276" w:lineRule="auto"/>
        <w:jc w:val="both"/>
        <w:rPr>
          <w:rFonts w:cstheme="minorHAnsi"/>
          <w:sz w:val="24"/>
          <w:szCs w:val="24"/>
        </w:rPr>
      </w:pPr>
    </w:p>
    <w:p w14:paraId="0E925A65" w14:textId="018B8DCA" w:rsidR="00D72132" w:rsidRDefault="00D72132" w:rsidP="00D72132">
      <w:pPr>
        <w:spacing w:after="120" w:line="276" w:lineRule="auto"/>
        <w:jc w:val="both"/>
        <w:rPr>
          <w:rFonts w:cstheme="minorHAnsi"/>
          <w:sz w:val="24"/>
          <w:szCs w:val="24"/>
        </w:rPr>
      </w:pPr>
    </w:p>
    <w:p w14:paraId="39ECC42E" w14:textId="152C6520" w:rsidR="00D72132" w:rsidRPr="00D72132" w:rsidRDefault="00D72132" w:rsidP="00D72132">
      <w:pPr>
        <w:spacing w:after="120" w:line="276" w:lineRule="auto"/>
        <w:jc w:val="both"/>
        <w:rPr>
          <w:rFonts w:cstheme="minorHAnsi"/>
          <w:sz w:val="24"/>
          <w:szCs w:val="24"/>
        </w:rPr>
      </w:pPr>
    </w:p>
    <w:p w14:paraId="5A64515C" w14:textId="16A72A94" w:rsidR="006A5B90" w:rsidRPr="00F1344B" w:rsidRDefault="006A5B90" w:rsidP="00D72132">
      <w:pPr>
        <w:pStyle w:val="ListParagraph"/>
        <w:spacing w:after="0" w:line="240" w:lineRule="auto"/>
        <w:ind w:left="567"/>
        <w:jc w:val="both"/>
        <w:rPr>
          <w:rFonts w:cstheme="minorHAnsi"/>
          <w:sz w:val="24"/>
          <w:szCs w:val="24"/>
        </w:rPr>
      </w:pPr>
      <w:r w:rsidRPr="00F1344B">
        <w:rPr>
          <w:rFonts w:cstheme="minorHAnsi"/>
          <w:sz w:val="24"/>
          <w:szCs w:val="24"/>
        </w:rPr>
        <w:br w:type="page"/>
      </w:r>
    </w:p>
    <w:p w14:paraId="512B7617" w14:textId="599311AD" w:rsidR="005D4BE3" w:rsidRPr="00A4438A" w:rsidRDefault="005D4BE3" w:rsidP="00CF2D5B">
      <w:pPr>
        <w:spacing w:after="0" w:line="240" w:lineRule="auto"/>
        <w:jc w:val="both"/>
        <w:rPr>
          <w:rFonts w:cstheme="minorHAnsi"/>
          <w:b/>
          <w:bCs/>
          <w:sz w:val="24"/>
          <w:szCs w:val="24"/>
          <w:u w:val="single"/>
        </w:rPr>
      </w:pPr>
      <w:r w:rsidRPr="00A4438A">
        <w:rPr>
          <w:rFonts w:cstheme="minorHAnsi"/>
          <w:b/>
          <w:bCs/>
          <w:sz w:val="24"/>
          <w:szCs w:val="24"/>
          <w:u w:val="single"/>
        </w:rPr>
        <w:lastRenderedPageBreak/>
        <w:t xml:space="preserve">Chapter </w:t>
      </w:r>
      <w:r>
        <w:rPr>
          <w:rFonts w:cstheme="minorHAnsi"/>
          <w:b/>
          <w:bCs/>
          <w:sz w:val="24"/>
          <w:szCs w:val="24"/>
          <w:u w:val="single"/>
        </w:rPr>
        <w:t>Four</w:t>
      </w:r>
      <w:r w:rsidRPr="00A4438A">
        <w:rPr>
          <w:rFonts w:cstheme="minorHAnsi"/>
          <w:b/>
          <w:bCs/>
          <w:sz w:val="24"/>
          <w:szCs w:val="24"/>
          <w:u w:val="single"/>
        </w:rPr>
        <w:t xml:space="preserve">: </w:t>
      </w:r>
      <w:r>
        <w:rPr>
          <w:rFonts w:cstheme="minorHAnsi"/>
          <w:b/>
          <w:bCs/>
          <w:sz w:val="24"/>
          <w:szCs w:val="24"/>
          <w:u w:val="single"/>
        </w:rPr>
        <w:t>ARB’s</w:t>
      </w:r>
      <w:r w:rsidRPr="00A4438A">
        <w:rPr>
          <w:rFonts w:cstheme="minorHAnsi"/>
          <w:b/>
          <w:bCs/>
          <w:sz w:val="24"/>
          <w:szCs w:val="24"/>
          <w:u w:val="single"/>
        </w:rPr>
        <w:t xml:space="preserve"> respon</w:t>
      </w:r>
      <w:r>
        <w:rPr>
          <w:rFonts w:cstheme="minorHAnsi"/>
          <w:b/>
          <w:bCs/>
          <w:sz w:val="24"/>
          <w:szCs w:val="24"/>
          <w:u w:val="single"/>
        </w:rPr>
        <w:t>se</w:t>
      </w:r>
    </w:p>
    <w:p w14:paraId="0B5E20FB" w14:textId="77777777" w:rsidR="005D4BE3" w:rsidRPr="00A4438A" w:rsidRDefault="005D4BE3" w:rsidP="00CF2D5B">
      <w:pPr>
        <w:spacing w:after="0" w:line="240" w:lineRule="auto"/>
        <w:jc w:val="both"/>
        <w:rPr>
          <w:rFonts w:cstheme="minorHAnsi"/>
          <w:sz w:val="24"/>
          <w:szCs w:val="24"/>
        </w:rPr>
      </w:pPr>
    </w:p>
    <w:p w14:paraId="352401BE" w14:textId="77777777" w:rsidR="005D4BE3" w:rsidRPr="00A4438A" w:rsidRDefault="005D4BE3" w:rsidP="00CF2D5B">
      <w:pPr>
        <w:spacing w:after="120" w:line="276" w:lineRule="auto"/>
        <w:jc w:val="both"/>
        <w:rPr>
          <w:rFonts w:cstheme="minorHAnsi"/>
          <w:b/>
          <w:bCs/>
          <w:sz w:val="24"/>
          <w:szCs w:val="24"/>
        </w:rPr>
      </w:pPr>
      <w:r w:rsidRPr="00A4438A">
        <w:rPr>
          <w:rFonts w:cstheme="minorHAnsi"/>
          <w:b/>
          <w:bCs/>
          <w:sz w:val="24"/>
          <w:szCs w:val="24"/>
        </w:rPr>
        <w:t>Introduction</w:t>
      </w:r>
    </w:p>
    <w:p w14:paraId="1F0B4E50" w14:textId="77777777" w:rsidR="00AA7A07" w:rsidRPr="00AA7A07" w:rsidRDefault="00AA7A07" w:rsidP="00CF2D5B">
      <w:pPr>
        <w:pStyle w:val="ListParagraph"/>
        <w:numPr>
          <w:ilvl w:val="0"/>
          <w:numId w:val="34"/>
        </w:numPr>
        <w:spacing w:after="120" w:line="276" w:lineRule="auto"/>
        <w:contextualSpacing w:val="0"/>
        <w:jc w:val="both"/>
        <w:rPr>
          <w:rFonts w:cstheme="minorHAnsi"/>
          <w:vanish/>
          <w:sz w:val="24"/>
          <w:szCs w:val="24"/>
        </w:rPr>
      </w:pPr>
    </w:p>
    <w:p w14:paraId="283A7D68" w14:textId="4558FEA7" w:rsidR="00AA7A07"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r w:rsidRPr="00A4438A">
        <w:rPr>
          <w:rFonts w:cstheme="minorHAnsi"/>
          <w:sz w:val="24"/>
          <w:szCs w:val="24"/>
        </w:rPr>
        <w:t xml:space="preserve">Below we summarise </w:t>
      </w:r>
      <w:r>
        <w:rPr>
          <w:rFonts w:cstheme="minorHAnsi"/>
          <w:sz w:val="24"/>
          <w:szCs w:val="24"/>
        </w:rPr>
        <w:t xml:space="preserve">our response to the main themes raised by respondents, as reported in the previous chapter. Where we have decided not to take further action, we explain the rationale. </w:t>
      </w:r>
    </w:p>
    <w:p w14:paraId="022E1474" w14:textId="1123B3F8" w:rsidR="00AA7A07" w:rsidRDefault="00AA7A07" w:rsidP="00CF2D5B">
      <w:pPr>
        <w:spacing w:after="120" w:line="276" w:lineRule="auto"/>
        <w:jc w:val="both"/>
        <w:rPr>
          <w:rFonts w:cstheme="minorHAnsi"/>
          <w:sz w:val="24"/>
          <w:szCs w:val="24"/>
        </w:rPr>
      </w:pPr>
    </w:p>
    <w:p w14:paraId="43A7CF55" w14:textId="77777777" w:rsidR="00AA7A07" w:rsidRPr="00A4438A" w:rsidRDefault="00AA7A07" w:rsidP="00CF2D5B">
      <w:pPr>
        <w:spacing w:after="120" w:line="276" w:lineRule="auto"/>
        <w:jc w:val="both"/>
        <w:rPr>
          <w:rFonts w:cstheme="minorHAnsi"/>
          <w:b/>
          <w:bCs/>
          <w:sz w:val="24"/>
          <w:szCs w:val="24"/>
        </w:rPr>
      </w:pPr>
      <w:r w:rsidRPr="00A4438A">
        <w:rPr>
          <w:rFonts w:cstheme="minorHAnsi"/>
          <w:b/>
          <w:bCs/>
          <w:sz w:val="24"/>
          <w:szCs w:val="24"/>
        </w:rPr>
        <w:t>Clarity of the Fire and life safety design guidance</w:t>
      </w:r>
    </w:p>
    <w:p w14:paraId="21BFF6A7" w14:textId="77777777" w:rsidR="00AA7A07"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r w:rsidRPr="00AA7A07">
        <w:rPr>
          <w:rFonts w:cstheme="minorHAnsi"/>
          <w:sz w:val="24"/>
          <w:szCs w:val="24"/>
        </w:rPr>
        <w:t>Whilst we received some useful suggestions as to specific standards that should be referenced, point FB2 in the guidance already refers to the need for the curriculum to cover key pieces of legislation and regulations. We do not intend to list specific examples, nor to go into further detail to name the standards or applied documents beneath them. It is the institution’s responsibility to make sure they teach students and candidates about the most up to date legislation and regulation. If we were to name them in this guidance, there is a risk it would need to be republished regularly as specific documents and standards are changed or updated over time.</w:t>
      </w:r>
    </w:p>
    <w:p w14:paraId="7E51A736" w14:textId="5676F574" w:rsidR="00AA7A07" w:rsidRPr="00AA7A07"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bookmarkStart w:id="4" w:name="_Hlk76481057"/>
      <w:r w:rsidRPr="00AA7A07">
        <w:rPr>
          <w:rFonts w:eastAsia="Calibri" w:cstheme="minorHAnsi"/>
          <w:sz w:val="24"/>
          <w:szCs w:val="24"/>
          <w:lang w:val="en-US"/>
        </w:rPr>
        <w:t>We will strengthen the wording of point FB4 in the guidance to include collaboration and consultation as part of the architect’s role in the design team.</w:t>
      </w:r>
    </w:p>
    <w:bookmarkEnd w:id="4"/>
    <w:p w14:paraId="2CB33AE2" w14:textId="6A4E38A2" w:rsidR="00AA7A07" w:rsidRDefault="00AA7A07" w:rsidP="00CF2D5B">
      <w:pPr>
        <w:spacing w:after="120" w:line="276" w:lineRule="auto"/>
        <w:jc w:val="both"/>
        <w:rPr>
          <w:rFonts w:cstheme="minorHAnsi"/>
          <w:sz w:val="24"/>
          <w:szCs w:val="24"/>
        </w:rPr>
      </w:pPr>
    </w:p>
    <w:p w14:paraId="55DF9084" w14:textId="3AEB8614" w:rsidR="00AA7A07" w:rsidRPr="00AA7A07" w:rsidRDefault="00AA7A07" w:rsidP="00CF2D5B">
      <w:pPr>
        <w:spacing w:after="120" w:line="276" w:lineRule="auto"/>
        <w:jc w:val="both"/>
        <w:rPr>
          <w:rFonts w:cstheme="minorHAnsi"/>
          <w:b/>
          <w:bCs/>
          <w:sz w:val="24"/>
          <w:szCs w:val="24"/>
        </w:rPr>
      </w:pPr>
      <w:r w:rsidRPr="00A4438A">
        <w:rPr>
          <w:rFonts w:cstheme="minorHAnsi"/>
          <w:b/>
          <w:bCs/>
          <w:sz w:val="24"/>
          <w:szCs w:val="24"/>
        </w:rPr>
        <w:t>Clarity of the Sustainability guidance</w:t>
      </w:r>
    </w:p>
    <w:p w14:paraId="42A531DE" w14:textId="183FE1AD" w:rsidR="00AA7A07"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r w:rsidRPr="00AA7A07">
        <w:rPr>
          <w:rFonts w:cstheme="minorHAnsi"/>
          <w:sz w:val="24"/>
          <w:szCs w:val="24"/>
        </w:rPr>
        <w:t xml:space="preserve">Whilst sections C and D of the guidance refer to building physics and construction technologies, sections A and B of the guidance </w:t>
      </w:r>
      <w:r w:rsidR="00E8432E">
        <w:rPr>
          <w:rFonts w:cstheme="minorHAnsi"/>
          <w:sz w:val="24"/>
          <w:szCs w:val="24"/>
        </w:rPr>
        <w:t xml:space="preserve">serve to </w:t>
      </w:r>
      <w:r w:rsidRPr="00AA7A07">
        <w:rPr>
          <w:rFonts w:cstheme="minorHAnsi"/>
          <w:sz w:val="24"/>
          <w:szCs w:val="24"/>
        </w:rPr>
        <w:t>widen the context in which sustainability must be considered. Sections A and B cover, for example, the need for architects to learn about natural habitats, infrastructure, and the relationships between buildings. We therefore believe the scope already goes beyond building physics and construction technologies</w:t>
      </w:r>
      <w:r w:rsidR="00E8432E">
        <w:rPr>
          <w:rFonts w:cstheme="minorHAnsi"/>
          <w:sz w:val="24"/>
          <w:szCs w:val="24"/>
        </w:rPr>
        <w:t xml:space="preserve">, and </w:t>
      </w:r>
      <w:r w:rsidR="00F1344B">
        <w:rPr>
          <w:rFonts w:cstheme="minorHAnsi"/>
          <w:sz w:val="24"/>
          <w:szCs w:val="24"/>
        </w:rPr>
        <w:t>we are not proposing to</w:t>
      </w:r>
      <w:r w:rsidR="00E8432E">
        <w:rPr>
          <w:rFonts w:cstheme="minorHAnsi"/>
          <w:sz w:val="24"/>
          <w:szCs w:val="24"/>
        </w:rPr>
        <w:t xml:space="preserve"> amend the guidance to emphasise this any further</w:t>
      </w:r>
      <w:r w:rsidRPr="00AA7A07">
        <w:rPr>
          <w:rFonts w:cstheme="minorHAnsi"/>
          <w:sz w:val="24"/>
          <w:szCs w:val="24"/>
        </w:rPr>
        <w:t>.</w:t>
      </w:r>
    </w:p>
    <w:p w14:paraId="644AD7B2" w14:textId="48F4AA7E" w:rsidR="00E8432E"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r w:rsidRPr="00AA7A07">
        <w:rPr>
          <w:rFonts w:cstheme="minorHAnsi"/>
          <w:sz w:val="24"/>
          <w:szCs w:val="24"/>
        </w:rPr>
        <w:t xml:space="preserve">We agree with those respondents who state that guidance on sustainability will not in itself solve the climate crisis, and who have urged us to do more. </w:t>
      </w:r>
      <w:bookmarkStart w:id="5" w:name="_Hlk76481080"/>
      <w:r w:rsidRPr="00AA7A07">
        <w:rPr>
          <w:rFonts w:cstheme="minorHAnsi"/>
          <w:sz w:val="24"/>
          <w:szCs w:val="24"/>
        </w:rPr>
        <w:t xml:space="preserve">We are currently reviewing the initial education and training </w:t>
      </w:r>
      <w:proofErr w:type="gramStart"/>
      <w:r w:rsidRPr="00AA7A07">
        <w:rPr>
          <w:rFonts w:cstheme="minorHAnsi"/>
          <w:sz w:val="24"/>
          <w:szCs w:val="24"/>
        </w:rPr>
        <w:t>that architects</w:t>
      </w:r>
      <w:proofErr w:type="gramEnd"/>
      <w:r w:rsidRPr="00AA7A07">
        <w:rPr>
          <w:rFonts w:cstheme="minorHAnsi"/>
          <w:sz w:val="24"/>
          <w:szCs w:val="24"/>
        </w:rPr>
        <w:t xml:space="preserve"> undergo, and the way that we recognise qualifications so that architects can join the UK register. </w:t>
      </w:r>
    </w:p>
    <w:p w14:paraId="72989132" w14:textId="51E02488" w:rsidR="00AA7A07"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r w:rsidRPr="00AA7A07">
        <w:rPr>
          <w:rFonts w:cstheme="minorHAnsi"/>
          <w:sz w:val="24"/>
          <w:szCs w:val="24"/>
        </w:rPr>
        <w:t>This review has the potential to deliver on points made by respondents to this consultation. First, moving away from a more prescriptive set of input measures to instead focus on the outcomes means that qualifications</w:t>
      </w:r>
      <w:r w:rsidR="00E8432E">
        <w:rPr>
          <w:rFonts w:cstheme="minorHAnsi"/>
          <w:sz w:val="24"/>
          <w:szCs w:val="24"/>
        </w:rPr>
        <w:t>,</w:t>
      </w:r>
      <w:r w:rsidRPr="00AA7A07">
        <w:rPr>
          <w:rFonts w:cstheme="minorHAnsi"/>
          <w:sz w:val="24"/>
          <w:szCs w:val="24"/>
        </w:rPr>
        <w:t xml:space="preserve"> will focus on the skills people gain rather than set the material they should be taught. This is </w:t>
      </w:r>
      <w:proofErr w:type="gramStart"/>
      <w:r w:rsidRPr="00AA7A07">
        <w:rPr>
          <w:rFonts w:cstheme="minorHAnsi"/>
          <w:sz w:val="24"/>
          <w:szCs w:val="24"/>
        </w:rPr>
        <w:t>similar to</w:t>
      </w:r>
      <w:proofErr w:type="gramEnd"/>
      <w:r w:rsidRPr="00AA7A07">
        <w:rPr>
          <w:rFonts w:cstheme="minorHAnsi"/>
          <w:sz w:val="24"/>
          <w:szCs w:val="24"/>
        </w:rPr>
        <w:t xml:space="preserve"> the point some respondents made about targets. Second, it opens the opportunity for a more fundamental approach to sustainability throughout education and training. </w:t>
      </w:r>
      <w:bookmarkEnd w:id="5"/>
      <w:r w:rsidR="00F1344B" w:rsidRPr="004478B9">
        <w:rPr>
          <w:rFonts w:cstheme="minorHAnsi"/>
          <w:sz w:val="24"/>
          <w:szCs w:val="24"/>
        </w:rPr>
        <w:t xml:space="preserve">The review of our prescription criteria already underway will enable a more fundamental review of </w:t>
      </w:r>
      <w:r w:rsidR="00F1344B" w:rsidRPr="004478B9">
        <w:rPr>
          <w:rFonts w:cstheme="minorHAnsi"/>
          <w:sz w:val="24"/>
          <w:szCs w:val="24"/>
        </w:rPr>
        <w:lastRenderedPageBreak/>
        <w:t>sustainability in initial education and training of architects. We are fully committed to wide ranging engagement and consultation with the sector as part of this fundamental review.</w:t>
      </w:r>
      <w:r w:rsidR="004478B9">
        <w:rPr>
          <w:rFonts w:cstheme="minorHAnsi"/>
          <w:sz w:val="24"/>
          <w:szCs w:val="24"/>
        </w:rPr>
        <w:t xml:space="preserve"> </w:t>
      </w:r>
      <w:r w:rsidRPr="00AA7A07">
        <w:rPr>
          <w:rFonts w:cstheme="minorHAnsi"/>
          <w:sz w:val="24"/>
          <w:szCs w:val="24"/>
        </w:rPr>
        <w:t>This review would also be an opportunity to revisit the language and terminology that is used.</w:t>
      </w:r>
    </w:p>
    <w:p w14:paraId="49B73D3D" w14:textId="6D357C0F" w:rsidR="00AA7A07"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bookmarkStart w:id="6" w:name="_Hlk76481043"/>
      <w:r w:rsidRPr="00AA7A07">
        <w:rPr>
          <w:rFonts w:cstheme="minorHAnsi"/>
          <w:sz w:val="24"/>
          <w:szCs w:val="24"/>
        </w:rPr>
        <w:t xml:space="preserve">We will be more explicit about the status of this guidance. When we introduce it, we will write to institutions that deliver ARB-recognised qualifications and we will set out </w:t>
      </w:r>
      <w:r w:rsidR="004478B9" w:rsidRPr="00B75741">
        <w:rPr>
          <w:rFonts w:cstheme="minorHAnsi"/>
          <w:sz w:val="24"/>
          <w:szCs w:val="24"/>
        </w:rPr>
        <w:t>that, as supplementary guidance to the ARB General Criteria, it is a formal part of the prescription process</w:t>
      </w:r>
      <w:r w:rsidR="004478B9">
        <w:rPr>
          <w:rFonts w:cstheme="minorHAnsi"/>
          <w:sz w:val="24"/>
          <w:szCs w:val="24"/>
        </w:rPr>
        <w:t xml:space="preserve">. </w:t>
      </w:r>
      <w:bookmarkEnd w:id="6"/>
    </w:p>
    <w:p w14:paraId="2115CB82" w14:textId="7425E538" w:rsidR="00AA7A07"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r w:rsidRPr="00AA7A07">
        <w:rPr>
          <w:rFonts w:cstheme="minorHAnsi"/>
          <w:sz w:val="24"/>
          <w:szCs w:val="24"/>
        </w:rPr>
        <w:t xml:space="preserve">We have not made recommendation about how the guidance is taught, as we believe the regulator should set a flexible approach and the </w:t>
      </w:r>
      <w:r w:rsidR="00E8432E">
        <w:rPr>
          <w:rFonts w:cstheme="minorHAnsi"/>
          <w:sz w:val="24"/>
          <w:szCs w:val="24"/>
        </w:rPr>
        <w:t xml:space="preserve">format of the </w:t>
      </w:r>
      <w:r w:rsidRPr="00AA7A07">
        <w:rPr>
          <w:rFonts w:cstheme="minorHAnsi"/>
          <w:sz w:val="24"/>
          <w:szCs w:val="24"/>
        </w:rPr>
        <w:t>teaching is best determined by academics.</w:t>
      </w:r>
    </w:p>
    <w:p w14:paraId="0C70D398" w14:textId="37E544FC" w:rsidR="00295E3A" w:rsidRPr="00295E3A" w:rsidRDefault="005D4BE3" w:rsidP="00CF2D5B">
      <w:pPr>
        <w:pStyle w:val="ListParagraph"/>
        <w:numPr>
          <w:ilvl w:val="1"/>
          <w:numId w:val="34"/>
        </w:numPr>
        <w:spacing w:after="120" w:line="276" w:lineRule="auto"/>
        <w:ind w:left="567" w:hanging="567"/>
        <w:contextualSpacing w:val="0"/>
        <w:jc w:val="both"/>
        <w:rPr>
          <w:rFonts w:cstheme="minorHAnsi"/>
          <w:sz w:val="24"/>
          <w:szCs w:val="24"/>
        </w:rPr>
      </w:pPr>
      <w:r w:rsidRPr="00AA7A07">
        <w:rPr>
          <w:rFonts w:cstheme="minorHAnsi"/>
          <w:sz w:val="24"/>
          <w:szCs w:val="24"/>
        </w:rPr>
        <w:t xml:space="preserve">Whilst we received some useful suggestions as to specific standards that should be referenced, point SA4 in the guidance already refers to the need for the curriculum to cover </w:t>
      </w:r>
      <w:r w:rsidRPr="00AA7A07">
        <w:rPr>
          <w:rFonts w:eastAsia="Calibri" w:cstheme="minorHAnsi"/>
          <w:sz w:val="24"/>
          <w:szCs w:val="24"/>
        </w:rPr>
        <w:t xml:space="preserve">key legislation, regulations, policies and guidance relating to the built environment on climate change and the ecological crisis. We </w:t>
      </w:r>
      <w:r w:rsidR="004478B9">
        <w:rPr>
          <w:rFonts w:eastAsia="Calibri" w:cstheme="minorHAnsi"/>
          <w:sz w:val="24"/>
          <w:szCs w:val="24"/>
        </w:rPr>
        <w:t>are</w:t>
      </w:r>
      <w:r w:rsidR="004478B9" w:rsidRPr="00AA7A07">
        <w:rPr>
          <w:rFonts w:eastAsia="Calibri" w:cstheme="minorHAnsi"/>
          <w:sz w:val="24"/>
          <w:szCs w:val="24"/>
        </w:rPr>
        <w:t xml:space="preserve"> </w:t>
      </w:r>
      <w:r w:rsidRPr="00AA7A07">
        <w:rPr>
          <w:rFonts w:eastAsia="Calibri" w:cstheme="minorHAnsi"/>
          <w:sz w:val="24"/>
          <w:szCs w:val="24"/>
        </w:rPr>
        <w:t xml:space="preserve">not </w:t>
      </w:r>
      <w:r w:rsidR="004478B9">
        <w:rPr>
          <w:rFonts w:eastAsia="Calibri" w:cstheme="minorHAnsi"/>
          <w:sz w:val="24"/>
          <w:szCs w:val="24"/>
        </w:rPr>
        <w:t xml:space="preserve">proposing to </w:t>
      </w:r>
      <w:r w:rsidRPr="00AA7A07">
        <w:rPr>
          <w:rFonts w:eastAsia="Calibri" w:cstheme="minorHAnsi"/>
          <w:sz w:val="24"/>
          <w:szCs w:val="24"/>
        </w:rPr>
        <w:t>name specific legislation, policies, guidance or standards for the same reasons as we outline above, regarding the Fire and life safety guidance.</w:t>
      </w:r>
    </w:p>
    <w:p w14:paraId="21B3D874" w14:textId="77777777" w:rsidR="008D0B72" w:rsidRDefault="008D0B72" w:rsidP="00CF2D5B">
      <w:pPr>
        <w:spacing w:after="120" w:line="276" w:lineRule="auto"/>
        <w:jc w:val="both"/>
        <w:rPr>
          <w:rFonts w:cstheme="minorHAnsi"/>
          <w:b/>
          <w:bCs/>
          <w:sz w:val="24"/>
          <w:szCs w:val="24"/>
        </w:rPr>
      </w:pPr>
    </w:p>
    <w:p w14:paraId="5950AB2E" w14:textId="143E308F" w:rsidR="00295E3A" w:rsidRPr="005D4BE3" w:rsidRDefault="00295E3A" w:rsidP="00CF2D5B">
      <w:pPr>
        <w:spacing w:after="120" w:line="276" w:lineRule="auto"/>
        <w:jc w:val="both"/>
        <w:rPr>
          <w:rFonts w:cstheme="minorHAnsi"/>
          <w:b/>
          <w:bCs/>
          <w:sz w:val="24"/>
          <w:szCs w:val="24"/>
        </w:rPr>
      </w:pPr>
      <w:r w:rsidRPr="005D4BE3">
        <w:rPr>
          <w:rFonts w:cstheme="minorHAnsi"/>
          <w:b/>
          <w:bCs/>
          <w:sz w:val="24"/>
          <w:szCs w:val="24"/>
        </w:rPr>
        <w:t xml:space="preserve">Implementation </w:t>
      </w:r>
    </w:p>
    <w:p w14:paraId="2B39BFE5" w14:textId="20ACFF7B" w:rsidR="00295E3A" w:rsidRPr="00175E5F" w:rsidRDefault="00295E3A" w:rsidP="00175E5F">
      <w:pPr>
        <w:pStyle w:val="ListParagraph"/>
        <w:numPr>
          <w:ilvl w:val="1"/>
          <w:numId w:val="34"/>
        </w:numPr>
        <w:spacing w:after="120" w:line="276" w:lineRule="auto"/>
        <w:ind w:left="567" w:hanging="567"/>
        <w:contextualSpacing w:val="0"/>
        <w:jc w:val="both"/>
        <w:rPr>
          <w:rFonts w:cstheme="minorHAnsi"/>
          <w:sz w:val="24"/>
          <w:szCs w:val="24"/>
        </w:rPr>
      </w:pPr>
      <w:r w:rsidRPr="00A4438A">
        <w:rPr>
          <w:rFonts w:cstheme="minorHAnsi"/>
          <w:sz w:val="24"/>
          <w:szCs w:val="24"/>
        </w:rPr>
        <w:t xml:space="preserve">We </w:t>
      </w:r>
      <w:r w:rsidR="00546D94">
        <w:rPr>
          <w:rFonts w:cstheme="minorHAnsi"/>
          <w:sz w:val="24"/>
          <w:szCs w:val="24"/>
        </w:rPr>
        <w:t xml:space="preserve">have listened to the concerns, especially from institutions, as to the timing of implementation. We will give institutions time to plan how they will </w:t>
      </w:r>
      <w:r w:rsidR="0026420B">
        <w:rPr>
          <w:rFonts w:cstheme="minorHAnsi"/>
          <w:sz w:val="24"/>
          <w:szCs w:val="24"/>
        </w:rPr>
        <w:t xml:space="preserve">develop and </w:t>
      </w:r>
      <w:r w:rsidR="00546D94">
        <w:rPr>
          <w:rFonts w:cstheme="minorHAnsi"/>
          <w:sz w:val="24"/>
          <w:szCs w:val="24"/>
        </w:rPr>
        <w:t xml:space="preserve">deliver </w:t>
      </w:r>
      <w:r w:rsidR="0026420B">
        <w:rPr>
          <w:rFonts w:cstheme="minorHAnsi"/>
          <w:sz w:val="24"/>
          <w:szCs w:val="24"/>
        </w:rPr>
        <w:t xml:space="preserve">any additional course content required </w:t>
      </w:r>
      <w:proofErr w:type="gramStart"/>
      <w:r w:rsidR="0026420B">
        <w:rPr>
          <w:rFonts w:cstheme="minorHAnsi"/>
          <w:sz w:val="24"/>
          <w:szCs w:val="24"/>
        </w:rPr>
        <w:t>as a result of</w:t>
      </w:r>
      <w:proofErr w:type="gramEnd"/>
      <w:r w:rsidR="0026420B">
        <w:rPr>
          <w:rFonts w:cstheme="minorHAnsi"/>
          <w:sz w:val="24"/>
          <w:szCs w:val="24"/>
        </w:rPr>
        <w:t xml:space="preserve"> the </w:t>
      </w:r>
      <w:r w:rsidR="00546D94">
        <w:rPr>
          <w:rFonts w:cstheme="minorHAnsi"/>
          <w:sz w:val="24"/>
          <w:szCs w:val="24"/>
        </w:rPr>
        <w:t>guidance</w:t>
      </w:r>
      <w:r w:rsidR="0026420B">
        <w:rPr>
          <w:rFonts w:cstheme="minorHAnsi"/>
          <w:sz w:val="24"/>
          <w:szCs w:val="24"/>
        </w:rPr>
        <w:t xml:space="preserve">. Our expectation is that </w:t>
      </w:r>
      <w:r w:rsidR="00546D94">
        <w:rPr>
          <w:rFonts w:cstheme="minorHAnsi"/>
          <w:sz w:val="24"/>
          <w:szCs w:val="24"/>
        </w:rPr>
        <w:t>there is a commitment to do so within a reasonable time</w:t>
      </w:r>
      <w:r w:rsidR="0026420B">
        <w:rPr>
          <w:rFonts w:cstheme="minorHAnsi"/>
          <w:sz w:val="24"/>
          <w:szCs w:val="24"/>
        </w:rPr>
        <w:t xml:space="preserve"> and that progress can be demonstrated during the annual review process</w:t>
      </w:r>
      <w:r w:rsidR="00546D94">
        <w:rPr>
          <w:rFonts w:cstheme="minorHAnsi"/>
          <w:sz w:val="24"/>
          <w:szCs w:val="24"/>
        </w:rPr>
        <w:t>. We understand that institutions will all have different distances to travel to demonstrate compliance.</w:t>
      </w:r>
    </w:p>
    <w:p w14:paraId="187B005A" w14:textId="7E31A0F7" w:rsidR="00FA71DD" w:rsidRPr="00175E5F" w:rsidRDefault="00295E3A" w:rsidP="00175E5F">
      <w:pPr>
        <w:pStyle w:val="ListParagraph"/>
        <w:numPr>
          <w:ilvl w:val="1"/>
          <w:numId w:val="34"/>
        </w:numPr>
        <w:spacing w:after="120" w:line="276" w:lineRule="auto"/>
        <w:ind w:left="567" w:hanging="567"/>
        <w:contextualSpacing w:val="0"/>
        <w:jc w:val="both"/>
        <w:rPr>
          <w:rFonts w:cstheme="minorHAnsi"/>
          <w:sz w:val="24"/>
          <w:szCs w:val="24"/>
        </w:rPr>
      </w:pPr>
      <w:r w:rsidRPr="00A4438A">
        <w:rPr>
          <w:rFonts w:cstheme="minorHAnsi"/>
          <w:sz w:val="24"/>
          <w:szCs w:val="24"/>
        </w:rPr>
        <w:t xml:space="preserve">We </w:t>
      </w:r>
      <w:r w:rsidR="008D0B72">
        <w:rPr>
          <w:rFonts w:cstheme="minorHAnsi"/>
          <w:sz w:val="24"/>
          <w:szCs w:val="24"/>
        </w:rPr>
        <w:t>will</w:t>
      </w:r>
      <w:r w:rsidR="00546D94">
        <w:rPr>
          <w:rFonts w:cstheme="minorHAnsi"/>
          <w:sz w:val="24"/>
          <w:szCs w:val="24"/>
        </w:rPr>
        <w:t xml:space="preserve"> monitor the progress of compliance through AR</w:t>
      </w:r>
      <w:r w:rsidR="00D841BD">
        <w:rPr>
          <w:rFonts w:cstheme="minorHAnsi"/>
          <w:sz w:val="24"/>
          <w:szCs w:val="24"/>
        </w:rPr>
        <w:t>B</w:t>
      </w:r>
      <w:r w:rsidR="00546D94">
        <w:rPr>
          <w:rFonts w:cstheme="minorHAnsi"/>
          <w:sz w:val="24"/>
          <w:szCs w:val="24"/>
        </w:rPr>
        <w:t>’s existing Annual Monitoring process, and where institutions are applying for a renewal of their existing qualification. Applications for the prescription of a new qualification will be required to include a plan for how that qualification will cover the points in the guidance.</w:t>
      </w:r>
    </w:p>
    <w:p w14:paraId="5C35D6B7" w14:textId="55469D10" w:rsidR="00FA71DD" w:rsidRPr="00A4438A" w:rsidRDefault="00FA71DD" w:rsidP="00CF2D5B">
      <w:pPr>
        <w:pStyle w:val="ListParagraph"/>
        <w:numPr>
          <w:ilvl w:val="1"/>
          <w:numId w:val="34"/>
        </w:numPr>
        <w:spacing w:after="120" w:line="276" w:lineRule="auto"/>
        <w:ind w:left="567" w:hanging="567"/>
        <w:contextualSpacing w:val="0"/>
        <w:jc w:val="both"/>
        <w:rPr>
          <w:rFonts w:cstheme="minorHAnsi"/>
          <w:sz w:val="24"/>
          <w:szCs w:val="24"/>
        </w:rPr>
      </w:pPr>
      <w:r>
        <w:rPr>
          <w:rFonts w:cstheme="minorHAnsi"/>
          <w:sz w:val="24"/>
          <w:szCs w:val="24"/>
        </w:rPr>
        <w:t>We want to work with institutions and support them in making any necessary changes to their course content. We will, however, retain the power to take regulatory action in relation to the qualifications of those institutions who are unwilling or unable to take meaningful steps towards compliance.</w:t>
      </w:r>
    </w:p>
    <w:p w14:paraId="75A3B314" w14:textId="1B84B98E" w:rsidR="00295E3A" w:rsidRPr="008D0B72" w:rsidRDefault="00295E3A" w:rsidP="00CF2D5B">
      <w:pPr>
        <w:spacing w:after="120" w:line="276" w:lineRule="auto"/>
        <w:jc w:val="both"/>
        <w:rPr>
          <w:rFonts w:cstheme="minorHAnsi"/>
          <w:sz w:val="24"/>
          <w:szCs w:val="24"/>
        </w:rPr>
      </w:pPr>
    </w:p>
    <w:p w14:paraId="44667065" w14:textId="77777777" w:rsidR="00295E3A" w:rsidRPr="00295E3A" w:rsidRDefault="00295E3A" w:rsidP="00CF2D5B">
      <w:pPr>
        <w:pStyle w:val="ListParagraph"/>
        <w:numPr>
          <w:ilvl w:val="0"/>
          <w:numId w:val="34"/>
        </w:numPr>
        <w:spacing w:after="120" w:line="276" w:lineRule="auto"/>
        <w:jc w:val="both"/>
        <w:rPr>
          <w:rFonts w:cstheme="minorHAnsi"/>
          <w:sz w:val="24"/>
          <w:szCs w:val="24"/>
        </w:rPr>
      </w:pPr>
      <w:r w:rsidRPr="00295E3A">
        <w:rPr>
          <w:rFonts w:cstheme="minorHAnsi"/>
          <w:sz w:val="24"/>
          <w:szCs w:val="24"/>
        </w:rPr>
        <w:br w:type="page"/>
      </w:r>
    </w:p>
    <w:p w14:paraId="28F2AEA1" w14:textId="77777777" w:rsidR="00295E3A" w:rsidRPr="00295E3A" w:rsidRDefault="00295E3A" w:rsidP="00CF2D5B">
      <w:pPr>
        <w:spacing w:after="0" w:line="240" w:lineRule="auto"/>
        <w:jc w:val="both"/>
        <w:rPr>
          <w:rFonts w:cstheme="minorHAnsi"/>
          <w:b/>
          <w:bCs/>
          <w:sz w:val="24"/>
          <w:szCs w:val="24"/>
          <w:u w:val="single"/>
        </w:rPr>
      </w:pPr>
      <w:r w:rsidRPr="00295E3A">
        <w:rPr>
          <w:rFonts w:cstheme="minorHAnsi"/>
          <w:b/>
          <w:bCs/>
          <w:sz w:val="24"/>
          <w:szCs w:val="24"/>
          <w:u w:val="single"/>
        </w:rPr>
        <w:lastRenderedPageBreak/>
        <w:t>Chapter Five: Conclusion</w:t>
      </w:r>
    </w:p>
    <w:p w14:paraId="4CDED5A7" w14:textId="77777777" w:rsidR="00295E3A" w:rsidRPr="00295E3A" w:rsidRDefault="00295E3A" w:rsidP="00CF2D5B">
      <w:pPr>
        <w:spacing w:after="120" w:line="276" w:lineRule="auto"/>
        <w:jc w:val="both"/>
        <w:rPr>
          <w:rFonts w:cstheme="minorHAnsi"/>
          <w:sz w:val="24"/>
          <w:szCs w:val="24"/>
        </w:rPr>
      </w:pPr>
    </w:p>
    <w:p w14:paraId="171BAB0E" w14:textId="6CD797CB" w:rsidR="00295E3A" w:rsidRDefault="006A5B90" w:rsidP="00CF2D5B">
      <w:pPr>
        <w:pStyle w:val="ListParagraph"/>
        <w:numPr>
          <w:ilvl w:val="1"/>
          <w:numId w:val="34"/>
        </w:numPr>
        <w:spacing w:after="120" w:line="276" w:lineRule="auto"/>
        <w:ind w:left="567" w:hanging="567"/>
        <w:contextualSpacing w:val="0"/>
        <w:jc w:val="both"/>
        <w:rPr>
          <w:rFonts w:cstheme="minorHAnsi"/>
          <w:sz w:val="24"/>
          <w:szCs w:val="24"/>
        </w:rPr>
      </w:pPr>
      <w:proofErr w:type="gramStart"/>
      <w:r w:rsidRPr="00295E3A">
        <w:rPr>
          <w:rFonts w:cstheme="minorHAnsi"/>
          <w:sz w:val="24"/>
          <w:szCs w:val="24"/>
        </w:rPr>
        <w:t>On the basis of</w:t>
      </w:r>
      <w:proofErr w:type="gramEnd"/>
      <w:r w:rsidRPr="00295E3A">
        <w:rPr>
          <w:rFonts w:cstheme="minorHAnsi"/>
          <w:sz w:val="24"/>
          <w:szCs w:val="24"/>
        </w:rPr>
        <w:t xml:space="preserve"> this</w:t>
      </w:r>
      <w:r w:rsidR="00A27AFE" w:rsidRPr="00295E3A">
        <w:rPr>
          <w:rFonts w:cstheme="minorHAnsi"/>
          <w:sz w:val="24"/>
          <w:szCs w:val="24"/>
        </w:rPr>
        <w:t xml:space="preserve"> report on the consultation, the ARB Board </w:t>
      </w:r>
      <w:r w:rsidRPr="00295E3A">
        <w:rPr>
          <w:rFonts w:cstheme="minorHAnsi"/>
          <w:sz w:val="24"/>
          <w:szCs w:val="24"/>
        </w:rPr>
        <w:t>has considered the</w:t>
      </w:r>
      <w:r w:rsidR="00A27AFE" w:rsidRPr="00295E3A">
        <w:rPr>
          <w:rFonts w:cstheme="minorHAnsi"/>
          <w:sz w:val="24"/>
          <w:szCs w:val="24"/>
        </w:rPr>
        <w:t xml:space="preserve"> changes to the guidance</w:t>
      </w:r>
      <w:r w:rsidRPr="00295E3A">
        <w:rPr>
          <w:rFonts w:cstheme="minorHAnsi"/>
          <w:sz w:val="24"/>
          <w:szCs w:val="24"/>
        </w:rPr>
        <w:t>, implementation and monitoring as set out above</w:t>
      </w:r>
      <w:r w:rsidR="00A27AFE" w:rsidRPr="00295E3A">
        <w:rPr>
          <w:rFonts w:cstheme="minorHAnsi"/>
          <w:sz w:val="24"/>
          <w:szCs w:val="24"/>
        </w:rPr>
        <w:t xml:space="preserve">. </w:t>
      </w:r>
      <w:r w:rsidRPr="00295E3A">
        <w:rPr>
          <w:rFonts w:cstheme="minorHAnsi"/>
          <w:sz w:val="24"/>
          <w:szCs w:val="24"/>
        </w:rPr>
        <w:t>The</w:t>
      </w:r>
      <w:r w:rsidR="00A27AFE" w:rsidRPr="00295E3A">
        <w:rPr>
          <w:rFonts w:cstheme="minorHAnsi"/>
          <w:sz w:val="24"/>
          <w:szCs w:val="24"/>
        </w:rPr>
        <w:t xml:space="preserve"> guidance </w:t>
      </w:r>
      <w:r w:rsidRPr="00295E3A">
        <w:rPr>
          <w:rFonts w:cstheme="minorHAnsi"/>
          <w:sz w:val="24"/>
          <w:szCs w:val="24"/>
        </w:rPr>
        <w:t>has been</w:t>
      </w:r>
      <w:r w:rsidR="00A27AFE" w:rsidRPr="00295E3A">
        <w:rPr>
          <w:rFonts w:cstheme="minorHAnsi"/>
          <w:sz w:val="24"/>
          <w:szCs w:val="24"/>
        </w:rPr>
        <w:t xml:space="preserve"> approved for publication by the Board, </w:t>
      </w:r>
      <w:r w:rsidRPr="00295E3A">
        <w:rPr>
          <w:rFonts w:cstheme="minorHAnsi"/>
          <w:sz w:val="24"/>
          <w:szCs w:val="24"/>
        </w:rPr>
        <w:t xml:space="preserve">and </w:t>
      </w:r>
      <w:r w:rsidR="00A27AFE" w:rsidRPr="00295E3A">
        <w:rPr>
          <w:rFonts w:cstheme="minorHAnsi"/>
          <w:sz w:val="24"/>
          <w:szCs w:val="24"/>
        </w:rPr>
        <w:t xml:space="preserve">we </w:t>
      </w:r>
      <w:r w:rsidRPr="00295E3A">
        <w:rPr>
          <w:rFonts w:cstheme="minorHAnsi"/>
          <w:sz w:val="24"/>
          <w:szCs w:val="24"/>
        </w:rPr>
        <w:t>are therefore publishing it alongside</w:t>
      </w:r>
      <w:r w:rsidR="00A27AFE" w:rsidRPr="00295E3A">
        <w:rPr>
          <w:rFonts w:cstheme="minorHAnsi"/>
          <w:sz w:val="24"/>
          <w:szCs w:val="24"/>
        </w:rPr>
        <w:t xml:space="preserve"> advice on implementation</w:t>
      </w:r>
      <w:r w:rsidR="00E5064F" w:rsidRPr="00295E3A">
        <w:rPr>
          <w:rFonts w:cstheme="minorHAnsi"/>
          <w:sz w:val="24"/>
          <w:szCs w:val="24"/>
        </w:rPr>
        <w:t>.</w:t>
      </w:r>
    </w:p>
    <w:p w14:paraId="621D481C" w14:textId="045AE4BF" w:rsidR="00ED3526" w:rsidRPr="00295E3A" w:rsidRDefault="00ED3526" w:rsidP="00CF2D5B">
      <w:pPr>
        <w:pStyle w:val="ListParagraph"/>
        <w:numPr>
          <w:ilvl w:val="1"/>
          <w:numId w:val="34"/>
        </w:numPr>
        <w:spacing w:after="120" w:line="276" w:lineRule="auto"/>
        <w:ind w:left="567" w:hanging="567"/>
        <w:contextualSpacing w:val="0"/>
        <w:jc w:val="both"/>
        <w:rPr>
          <w:rFonts w:cstheme="minorHAnsi"/>
          <w:sz w:val="24"/>
          <w:szCs w:val="24"/>
        </w:rPr>
      </w:pPr>
      <w:r w:rsidRPr="00295E3A">
        <w:rPr>
          <w:rFonts w:cstheme="minorHAnsi"/>
          <w:sz w:val="24"/>
          <w:szCs w:val="24"/>
        </w:rPr>
        <w:t>The guidance forms part of a thorough review ARB is undertaking to</w:t>
      </w:r>
      <w:r w:rsidR="00E8432E">
        <w:rPr>
          <w:rFonts w:cstheme="minorHAnsi"/>
          <w:sz w:val="24"/>
          <w:szCs w:val="24"/>
        </w:rPr>
        <w:t xml:space="preserve"> consider</w:t>
      </w:r>
      <w:r w:rsidRPr="00295E3A">
        <w:rPr>
          <w:rFonts w:cstheme="minorHAnsi"/>
          <w:sz w:val="24"/>
          <w:szCs w:val="24"/>
        </w:rPr>
        <w:t xml:space="preserve"> </w:t>
      </w:r>
      <w:r w:rsidR="00E8432E" w:rsidRPr="00AA7A07">
        <w:rPr>
          <w:rFonts w:cstheme="minorHAnsi"/>
          <w:sz w:val="24"/>
          <w:szCs w:val="24"/>
        </w:rPr>
        <w:t xml:space="preserve">the initial education and training </w:t>
      </w:r>
      <w:proofErr w:type="gramStart"/>
      <w:r w:rsidR="00E8432E" w:rsidRPr="00AA7A07">
        <w:rPr>
          <w:rFonts w:cstheme="minorHAnsi"/>
          <w:sz w:val="24"/>
          <w:szCs w:val="24"/>
        </w:rPr>
        <w:t>that architects</w:t>
      </w:r>
      <w:proofErr w:type="gramEnd"/>
      <w:r w:rsidR="00E8432E" w:rsidRPr="00AA7A07">
        <w:rPr>
          <w:rFonts w:cstheme="minorHAnsi"/>
          <w:sz w:val="24"/>
          <w:szCs w:val="24"/>
        </w:rPr>
        <w:t xml:space="preserve"> undergo, and the way that we recognise qualifications so that architects can join the UK register</w:t>
      </w:r>
      <w:r w:rsidRPr="00295E3A">
        <w:rPr>
          <w:rFonts w:cstheme="minorHAnsi"/>
          <w:sz w:val="24"/>
          <w:szCs w:val="24"/>
        </w:rPr>
        <w:t xml:space="preserve">. This review will continue through 2021; more information can be found </w:t>
      </w:r>
      <w:hyperlink r:id="rId15" w:history="1">
        <w:r w:rsidRPr="00295E3A">
          <w:rPr>
            <w:rStyle w:val="Hyperlink"/>
            <w:rFonts w:cstheme="minorHAnsi"/>
            <w:sz w:val="24"/>
            <w:szCs w:val="24"/>
          </w:rPr>
          <w:t>here</w:t>
        </w:r>
      </w:hyperlink>
      <w:r w:rsidR="000973AE" w:rsidRPr="00295E3A">
        <w:rPr>
          <w:rFonts w:cstheme="minorHAnsi"/>
          <w:sz w:val="24"/>
          <w:szCs w:val="24"/>
        </w:rPr>
        <w:t>.</w:t>
      </w:r>
    </w:p>
    <w:p w14:paraId="027699F0" w14:textId="347618E3" w:rsidR="006F3BCB" w:rsidRPr="00A4438A" w:rsidRDefault="004478B9" w:rsidP="00CF2D5B">
      <w:pPr>
        <w:spacing w:after="0" w:line="240" w:lineRule="auto"/>
        <w:jc w:val="both"/>
        <w:rPr>
          <w:rFonts w:cstheme="minorHAnsi"/>
          <w:sz w:val="24"/>
          <w:szCs w:val="24"/>
        </w:rPr>
      </w:pPr>
      <w:r>
        <w:rPr>
          <w:rFonts w:cstheme="minorHAnsi"/>
          <w:sz w:val="24"/>
          <w:szCs w:val="24"/>
        </w:rPr>
        <w:t>[</w:t>
      </w:r>
      <w:r w:rsidRPr="004478B9">
        <w:rPr>
          <w:rFonts w:cstheme="minorHAnsi"/>
          <w:sz w:val="24"/>
          <w:szCs w:val="24"/>
          <w:highlight w:val="yellow"/>
        </w:rPr>
        <w:t>This document is in draft form and this conclusion will be edited following the Board discussion on the consultation and the guidance</w:t>
      </w:r>
      <w:r>
        <w:rPr>
          <w:rFonts w:cstheme="minorHAnsi"/>
          <w:sz w:val="24"/>
          <w:szCs w:val="24"/>
        </w:rPr>
        <w:t>.]</w:t>
      </w:r>
    </w:p>
    <w:p w14:paraId="586E4217" w14:textId="077B5903" w:rsidR="006F3BCB" w:rsidRPr="00A4438A" w:rsidRDefault="006F3BCB" w:rsidP="00CF2D5B">
      <w:pPr>
        <w:spacing w:after="0" w:line="240" w:lineRule="auto"/>
        <w:jc w:val="both"/>
        <w:rPr>
          <w:rFonts w:cstheme="minorHAnsi"/>
          <w:sz w:val="24"/>
          <w:szCs w:val="24"/>
        </w:rPr>
      </w:pPr>
    </w:p>
    <w:p w14:paraId="22126CF5" w14:textId="37EAB491" w:rsidR="003D6DD4" w:rsidRPr="00A4438A" w:rsidRDefault="003D6DD4" w:rsidP="00CF2D5B">
      <w:pPr>
        <w:spacing w:after="0" w:line="240" w:lineRule="auto"/>
        <w:jc w:val="both"/>
        <w:rPr>
          <w:rFonts w:cstheme="minorHAnsi"/>
          <w:sz w:val="24"/>
          <w:szCs w:val="24"/>
        </w:rPr>
      </w:pPr>
    </w:p>
    <w:p w14:paraId="421DF60B" w14:textId="1274D5E5" w:rsidR="003D6DD4" w:rsidRPr="00A4438A" w:rsidRDefault="003D6DD4" w:rsidP="00CF2D5B">
      <w:pPr>
        <w:spacing w:after="0" w:line="240" w:lineRule="auto"/>
        <w:jc w:val="both"/>
        <w:rPr>
          <w:rFonts w:cstheme="minorHAnsi"/>
          <w:sz w:val="24"/>
          <w:szCs w:val="24"/>
        </w:rPr>
      </w:pPr>
    </w:p>
    <w:p w14:paraId="273E7A20" w14:textId="22DFDF7D" w:rsidR="003D6DD4" w:rsidRPr="00A4438A" w:rsidRDefault="003D6DD4" w:rsidP="00CF2D5B">
      <w:pPr>
        <w:spacing w:after="0" w:line="240" w:lineRule="auto"/>
        <w:jc w:val="both"/>
        <w:rPr>
          <w:rFonts w:cstheme="minorHAnsi"/>
          <w:sz w:val="24"/>
          <w:szCs w:val="24"/>
        </w:rPr>
      </w:pPr>
    </w:p>
    <w:p w14:paraId="018D8B4A" w14:textId="2E25574C" w:rsidR="003D6DD4" w:rsidRPr="00A4438A" w:rsidRDefault="003D6DD4" w:rsidP="00CF2D5B">
      <w:pPr>
        <w:spacing w:after="0" w:line="240" w:lineRule="auto"/>
        <w:jc w:val="both"/>
        <w:rPr>
          <w:rFonts w:cstheme="minorHAnsi"/>
          <w:sz w:val="24"/>
          <w:szCs w:val="24"/>
        </w:rPr>
      </w:pPr>
      <w:r w:rsidRPr="00A4438A">
        <w:rPr>
          <w:rFonts w:cstheme="minorHAnsi"/>
          <w:sz w:val="24"/>
          <w:szCs w:val="24"/>
        </w:rPr>
        <w:br w:type="page"/>
      </w:r>
    </w:p>
    <w:p w14:paraId="0AF9CEE3" w14:textId="27A24451" w:rsidR="003D6DD4" w:rsidRPr="005D4BE3" w:rsidRDefault="003D6DD4" w:rsidP="00CF2D5B">
      <w:pPr>
        <w:spacing w:after="0" w:line="240" w:lineRule="auto"/>
        <w:jc w:val="both"/>
        <w:rPr>
          <w:rFonts w:cstheme="minorHAnsi"/>
          <w:b/>
          <w:bCs/>
          <w:sz w:val="24"/>
          <w:szCs w:val="24"/>
          <w:u w:val="single"/>
        </w:rPr>
      </w:pPr>
      <w:r w:rsidRPr="005D4BE3">
        <w:rPr>
          <w:rFonts w:cstheme="minorHAnsi"/>
          <w:b/>
          <w:bCs/>
          <w:sz w:val="24"/>
          <w:szCs w:val="24"/>
          <w:u w:val="single"/>
        </w:rPr>
        <w:lastRenderedPageBreak/>
        <w:t>Annex A</w:t>
      </w:r>
      <w:r w:rsidR="005D4BE3">
        <w:rPr>
          <w:rFonts w:cstheme="minorHAnsi"/>
          <w:b/>
          <w:bCs/>
          <w:sz w:val="24"/>
          <w:szCs w:val="24"/>
          <w:u w:val="single"/>
        </w:rPr>
        <w:t xml:space="preserve">: </w:t>
      </w:r>
      <w:r w:rsidR="005D4BE3" w:rsidRPr="005D4BE3">
        <w:rPr>
          <w:rFonts w:cstheme="minorHAnsi"/>
          <w:b/>
          <w:bCs/>
          <w:sz w:val="24"/>
          <w:szCs w:val="24"/>
          <w:u w:val="single"/>
        </w:rPr>
        <w:t>List of r</w:t>
      </w:r>
      <w:r w:rsidRPr="005D4BE3">
        <w:rPr>
          <w:rFonts w:cstheme="minorHAnsi"/>
          <w:b/>
          <w:bCs/>
          <w:sz w:val="24"/>
          <w:szCs w:val="24"/>
          <w:u w:val="single"/>
        </w:rPr>
        <w:t>espondents</w:t>
      </w:r>
      <w:r w:rsidRPr="00A4438A">
        <w:rPr>
          <w:rFonts w:cstheme="minorHAnsi"/>
          <w:sz w:val="24"/>
          <w:szCs w:val="24"/>
        </w:rPr>
        <w:t xml:space="preserve"> </w:t>
      </w:r>
    </w:p>
    <w:p w14:paraId="27F752A0" w14:textId="77777777" w:rsidR="003D6DD4" w:rsidRPr="00A4438A" w:rsidRDefault="003D6DD4" w:rsidP="00CF2D5B">
      <w:pPr>
        <w:spacing w:after="0" w:line="240" w:lineRule="auto"/>
        <w:jc w:val="both"/>
        <w:rPr>
          <w:rFonts w:cstheme="minorHAnsi"/>
          <w:sz w:val="24"/>
          <w:szCs w:val="24"/>
        </w:rPr>
      </w:pPr>
    </w:p>
    <w:p w14:paraId="56297EA5" w14:textId="77777777" w:rsidR="003D6DD4" w:rsidRPr="00A4438A"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A4438A">
        <w:rPr>
          <w:rFonts w:eastAsia="Times New Roman" w:cstheme="minorHAnsi"/>
          <w:color w:val="000000"/>
          <w:sz w:val="24"/>
          <w:szCs w:val="24"/>
          <w:lang w:eastAsia="en-GB"/>
        </w:rPr>
        <w:t>Alasdair Dixon, Registered Architect</w:t>
      </w:r>
    </w:p>
    <w:p w14:paraId="10EC5477" w14:textId="25CD907E" w:rsidR="003D6DD4" w:rsidRPr="00A4438A"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A4438A">
        <w:rPr>
          <w:rFonts w:eastAsia="Times New Roman" w:cstheme="minorHAnsi"/>
          <w:color w:val="000000"/>
          <w:sz w:val="24"/>
          <w:szCs w:val="24"/>
          <w:lang w:eastAsia="en-GB"/>
        </w:rPr>
        <w:t xml:space="preserve">Andrea White, Built environment </w:t>
      </w:r>
      <w:proofErr w:type="gramStart"/>
      <w:r w:rsidRPr="00A4438A">
        <w:rPr>
          <w:rFonts w:eastAsia="Times New Roman" w:cstheme="minorHAnsi"/>
          <w:color w:val="000000"/>
          <w:sz w:val="24"/>
          <w:szCs w:val="24"/>
          <w:lang w:eastAsia="en-GB"/>
        </w:rPr>
        <w:t>professional</w:t>
      </w:r>
      <w:proofErr w:type="gramEnd"/>
    </w:p>
    <w:p w14:paraId="0C853ED3"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Architects Declare UK</w:t>
      </w:r>
    </w:p>
    <w:p w14:paraId="6EC7D428"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Architects Climate Action Network</w:t>
      </w:r>
    </w:p>
    <w:p w14:paraId="2752FD98"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The Bartlett School of Architecture, UCL</w:t>
      </w:r>
    </w:p>
    <w:p w14:paraId="55710882"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David Stronge, Registered Architect on behalf of Peabody</w:t>
      </w:r>
    </w:p>
    <w:p w14:paraId="6C6054AA"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Eva Sopeoglou, Academic (registered architect)</w:t>
      </w:r>
    </w:p>
    <w:p w14:paraId="469CFE1C"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 xml:space="preserve">Francesco </w:t>
      </w:r>
      <w:proofErr w:type="spellStart"/>
      <w:r w:rsidRPr="00E8432E">
        <w:rPr>
          <w:rFonts w:eastAsia="Times New Roman" w:cstheme="minorHAnsi"/>
          <w:color w:val="000000"/>
          <w:sz w:val="24"/>
          <w:szCs w:val="24"/>
          <w:lang w:eastAsia="en-GB"/>
        </w:rPr>
        <w:t>Sacconi</w:t>
      </w:r>
      <w:proofErr w:type="spellEnd"/>
      <w:r w:rsidRPr="00E8432E">
        <w:rPr>
          <w:rFonts w:eastAsia="Times New Roman" w:cstheme="minorHAnsi"/>
          <w:color w:val="000000"/>
          <w:sz w:val="24"/>
          <w:szCs w:val="24"/>
          <w:lang w:eastAsia="en-GB"/>
        </w:rPr>
        <w:t>, Registered Architect</w:t>
      </w:r>
    </w:p>
    <w:p w14:paraId="0FCD57DC"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Gavin Richards, Academic (other), on behalf of Nottingham Trent University</w:t>
      </w:r>
    </w:p>
    <w:p w14:paraId="53B044AC"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proofErr w:type="spellStart"/>
      <w:r w:rsidRPr="00E8432E">
        <w:rPr>
          <w:rFonts w:eastAsia="Times New Roman" w:cstheme="minorHAnsi"/>
          <w:color w:val="000000"/>
          <w:sz w:val="24"/>
          <w:szCs w:val="24"/>
          <w:lang w:eastAsia="en-GB"/>
        </w:rPr>
        <w:t>Gokay</w:t>
      </w:r>
      <w:proofErr w:type="spellEnd"/>
      <w:r w:rsidRPr="00E8432E">
        <w:rPr>
          <w:rFonts w:eastAsia="Times New Roman" w:cstheme="minorHAnsi"/>
          <w:color w:val="000000"/>
          <w:sz w:val="24"/>
          <w:szCs w:val="24"/>
          <w:lang w:eastAsia="en-GB"/>
        </w:rPr>
        <w:t xml:space="preserve"> Deveci, Academic (registered architect)</w:t>
      </w:r>
    </w:p>
    <w:p w14:paraId="2C476BB4" w14:textId="23ED1B0D"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Harry</w:t>
      </w:r>
      <w:r w:rsidR="004478B9" w:rsidRPr="00E8432E">
        <w:rPr>
          <w:rFonts w:eastAsia="Times New Roman" w:cstheme="minorHAnsi"/>
          <w:color w:val="000000"/>
          <w:sz w:val="24"/>
          <w:szCs w:val="24"/>
          <w:lang w:eastAsia="en-GB"/>
        </w:rPr>
        <w:t xml:space="preserve"> </w:t>
      </w:r>
      <w:proofErr w:type="spellStart"/>
      <w:r w:rsidRPr="00E8432E">
        <w:rPr>
          <w:rFonts w:eastAsia="Times New Roman" w:cstheme="minorHAnsi"/>
          <w:color w:val="000000"/>
          <w:sz w:val="24"/>
          <w:szCs w:val="24"/>
          <w:lang w:eastAsia="en-GB"/>
        </w:rPr>
        <w:t>Charrington</w:t>
      </w:r>
      <w:proofErr w:type="spellEnd"/>
      <w:r w:rsidRPr="00E8432E">
        <w:rPr>
          <w:rFonts w:eastAsia="Times New Roman" w:cstheme="minorHAnsi"/>
          <w:color w:val="000000"/>
          <w:sz w:val="24"/>
          <w:szCs w:val="24"/>
          <w:lang w:eastAsia="en-GB"/>
        </w:rPr>
        <w:t>, Academic (registered architect) on behalf of University of Westminster</w:t>
      </w:r>
    </w:p>
    <w:p w14:paraId="4AFB9D79"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James Burch, Academic (registered architect) on behalf of UWE, Bristol</w:t>
      </w:r>
    </w:p>
    <w:p w14:paraId="31D516EE"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Jermaine Clarke, Registered Architect</w:t>
      </w:r>
    </w:p>
    <w:p w14:paraId="56DD787C"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Jonathan Pilbeam, Registered Architect</w:t>
      </w:r>
    </w:p>
    <w:p w14:paraId="09640697"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Martina Murphy, Academic (registered architect)</w:t>
      </w:r>
    </w:p>
    <w:p w14:paraId="5D5D84A7"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 xml:space="preserve">Maxwell Kemplen, Architecture Student – undergraduate (studying Part 1),  </w:t>
      </w:r>
    </w:p>
    <w:p w14:paraId="67B6E48A"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 xml:space="preserve">Paul Barham, Registered Architect,  </w:t>
      </w:r>
    </w:p>
    <w:p w14:paraId="6E6A7538" w14:textId="52BE3954"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Robert Brown, Academic (registered architect), on behalf of University of Plymouth (Architecture)</w:t>
      </w:r>
    </w:p>
    <w:p w14:paraId="2BAF3FF8"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SCHOSA</w:t>
      </w:r>
    </w:p>
    <w:p w14:paraId="051FE58D"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proofErr w:type="spellStart"/>
      <w:r w:rsidRPr="00E8432E">
        <w:rPr>
          <w:rFonts w:eastAsia="Times New Roman" w:cstheme="minorHAnsi"/>
          <w:color w:val="000000"/>
          <w:sz w:val="24"/>
          <w:szCs w:val="24"/>
          <w:lang w:eastAsia="en-GB"/>
        </w:rPr>
        <w:t>SSoA</w:t>
      </w:r>
      <w:proofErr w:type="spellEnd"/>
      <w:r w:rsidRPr="00E8432E">
        <w:rPr>
          <w:rFonts w:eastAsia="Times New Roman" w:cstheme="minorHAnsi"/>
          <w:color w:val="000000"/>
          <w:sz w:val="24"/>
          <w:szCs w:val="24"/>
          <w:lang w:eastAsia="en-GB"/>
        </w:rPr>
        <w:t xml:space="preserve"> Students for Climate Action</w:t>
      </w:r>
    </w:p>
    <w:p w14:paraId="33B5FD9B"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 xml:space="preserve">Tabitha Binding, Built environment </w:t>
      </w:r>
      <w:proofErr w:type="gramStart"/>
      <w:r w:rsidRPr="00E8432E">
        <w:rPr>
          <w:rFonts w:eastAsia="Times New Roman" w:cstheme="minorHAnsi"/>
          <w:color w:val="000000"/>
          <w:sz w:val="24"/>
          <w:szCs w:val="24"/>
          <w:lang w:eastAsia="en-GB"/>
        </w:rPr>
        <w:t>professional</w:t>
      </w:r>
      <w:proofErr w:type="gramEnd"/>
    </w:p>
    <w:p w14:paraId="67CF03AA"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r w:rsidRPr="00E8432E">
        <w:rPr>
          <w:rFonts w:eastAsia="Times New Roman" w:cstheme="minorHAnsi"/>
          <w:color w:val="000000"/>
          <w:sz w:val="24"/>
          <w:szCs w:val="24"/>
          <w:lang w:eastAsia="en-GB"/>
        </w:rPr>
        <w:t>Vincent MacDonald, Architecture Student – graduate (studying Part 2), on behalf of Newcastle Students Climate Action Network</w:t>
      </w:r>
    </w:p>
    <w:p w14:paraId="74BEB1F7" w14:textId="77777777" w:rsidR="003D6DD4" w:rsidRPr="00E8432E" w:rsidRDefault="003D6DD4" w:rsidP="004478B9">
      <w:pPr>
        <w:pStyle w:val="ListParagraph"/>
        <w:numPr>
          <w:ilvl w:val="0"/>
          <w:numId w:val="19"/>
        </w:numPr>
        <w:spacing w:after="0" w:line="240" w:lineRule="auto"/>
        <w:rPr>
          <w:rFonts w:eastAsia="Times New Roman" w:cstheme="minorHAnsi"/>
          <w:color w:val="000000"/>
          <w:sz w:val="24"/>
          <w:szCs w:val="24"/>
          <w:lang w:eastAsia="en-GB"/>
        </w:rPr>
      </w:pPr>
      <w:proofErr w:type="spellStart"/>
      <w:r w:rsidRPr="00E8432E">
        <w:rPr>
          <w:rFonts w:eastAsia="Times New Roman" w:cstheme="minorHAnsi"/>
          <w:color w:val="000000"/>
          <w:sz w:val="24"/>
          <w:szCs w:val="24"/>
          <w:lang w:eastAsia="en-GB"/>
        </w:rPr>
        <w:t>WestCAN</w:t>
      </w:r>
      <w:proofErr w:type="spellEnd"/>
    </w:p>
    <w:p w14:paraId="3F865A33" w14:textId="77777777" w:rsidR="003D6DD4" w:rsidRPr="00A4438A" w:rsidRDefault="003D6DD4" w:rsidP="00CF2D5B">
      <w:pPr>
        <w:spacing w:after="0" w:line="240" w:lineRule="auto"/>
        <w:jc w:val="both"/>
        <w:rPr>
          <w:rFonts w:cstheme="minorHAnsi"/>
          <w:sz w:val="24"/>
          <w:szCs w:val="24"/>
        </w:rPr>
      </w:pPr>
    </w:p>
    <w:p w14:paraId="203F1EFC" w14:textId="77777777" w:rsidR="003D6DD4" w:rsidRPr="00A4438A" w:rsidRDefault="003D6DD4" w:rsidP="00E8432E">
      <w:pPr>
        <w:pStyle w:val="ListParagraph"/>
        <w:numPr>
          <w:ilvl w:val="0"/>
          <w:numId w:val="19"/>
        </w:numPr>
        <w:spacing w:after="0" w:line="240"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Two academics</w:t>
      </w:r>
    </w:p>
    <w:p w14:paraId="309475D3" w14:textId="77777777" w:rsidR="003D6DD4" w:rsidRPr="00A4438A" w:rsidRDefault="003D6DD4" w:rsidP="00E8432E">
      <w:pPr>
        <w:pStyle w:val="ListParagraph"/>
        <w:numPr>
          <w:ilvl w:val="0"/>
          <w:numId w:val="19"/>
        </w:numPr>
        <w:spacing w:after="0" w:line="240"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 xml:space="preserve">12 architect academics – </w:t>
      </w:r>
      <w:r w:rsidRPr="00E8432E">
        <w:rPr>
          <w:rFonts w:eastAsia="Times New Roman" w:cstheme="minorHAnsi"/>
          <w:color w:val="000000"/>
          <w:sz w:val="24"/>
          <w:szCs w:val="24"/>
          <w:lang w:eastAsia="en-GB"/>
        </w:rPr>
        <w:t>three of which responded on behalf of institutions</w:t>
      </w:r>
      <w:r w:rsidRPr="00A4438A">
        <w:rPr>
          <w:rFonts w:eastAsia="Times New Roman" w:cstheme="minorHAnsi"/>
          <w:color w:val="000000"/>
          <w:sz w:val="24"/>
          <w:szCs w:val="24"/>
          <w:lang w:eastAsia="en-GB"/>
        </w:rPr>
        <w:t xml:space="preserve"> that did not agree to be </w:t>
      </w:r>
      <w:proofErr w:type="gramStart"/>
      <w:r w:rsidRPr="00A4438A">
        <w:rPr>
          <w:rFonts w:eastAsia="Times New Roman" w:cstheme="minorHAnsi"/>
          <w:color w:val="000000"/>
          <w:sz w:val="24"/>
          <w:szCs w:val="24"/>
          <w:lang w:eastAsia="en-GB"/>
        </w:rPr>
        <w:t>identified</w:t>
      </w:r>
      <w:proofErr w:type="gramEnd"/>
    </w:p>
    <w:p w14:paraId="4A78F60B" w14:textId="77777777" w:rsidR="003D6DD4" w:rsidRPr="00A4438A" w:rsidRDefault="003D6DD4" w:rsidP="00E8432E">
      <w:pPr>
        <w:pStyle w:val="ListParagraph"/>
        <w:numPr>
          <w:ilvl w:val="0"/>
          <w:numId w:val="19"/>
        </w:numPr>
        <w:spacing w:after="0" w:line="240"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Two Architectural assistant, designer or consultants (not Part 3 qualified)</w:t>
      </w:r>
    </w:p>
    <w:p w14:paraId="1D83EE66" w14:textId="77777777" w:rsidR="003D6DD4" w:rsidRPr="00A4438A" w:rsidRDefault="003D6DD4" w:rsidP="00E8432E">
      <w:pPr>
        <w:pStyle w:val="ListParagraph"/>
        <w:numPr>
          <w:ilvl w:val="0"/>
          <w:numId w:val="19"/>
        </w:numPr>
        <w:spacing w:after="0" w:line="240" w:lineRule="auto"/>
        <w:jc w:val="both"/>
        <w:rPr>
          <w:rFonts w:eastAsia="Times New Roman" w:cstheme="minorHAnsi"/>
          <w:color w:val="000000"/>
          <w:sz w:val="24"/>
          <w:szCs w:val="24"/>
          <w:lang w:eastAsia="en-GB"/>
        </w:rPr>
      </w:pPr>
      <w:r w:rsidRPr="00A4438A">
        <w:rPr>
          <w:rFonts w:eastAsia="Times New Roman" w:cstheme="minorHAnsi"/>
          <w:color w:val="000000"/>
          <w:sz w:val="24"/>
          <w:szCs w:val="24"/>
          <w:lang w:eastAsia="en-GB"/>
        </w:rPr>
        <w:t>Nine registered architects</w:t>
      </w:r>
    </w:p>
    <w:p w14:paraId="695D6FD5" w14:textId="77777777" w:rsidR="003D6DD4" w:rsidRPr="00A4438A" w:rsidRDefault="003D6DD4" w:rsidP="00CF2D5B">
      <w:pPr>
        <w:spacing w:after="0" w:line="240" w:lineRule="auto"/>
        <w:jc w:val="both"/>
        <w:rPr>
          <w:rFonts w:cstheme="minorHAnsi"/>
          <w:sz w:val="24"/>
          <w:szCs w:val="24"/>
        </w:rPr>
      </w:pPr>
    </w:p>
    <w:p w14:paraId="04C16985" w14:textId="77777777" w:rsidR="003D6DD4" w:rsidRPr="00A4438A" w:rsidRDefault="003D6DD4" w:rsidP="00CF2D5B">
      <w:pPr>
        <w:spacing w:after="0" w:line="240" w:lineRule="auto"/>
        <w:jc w:val="both"/>
        <w:rPr>
          <w:rFonts w:cstheme="minorHAnsi"/>
          <w:sz w:val="24"/>
          <w:szCs w:val="24"/>
        </w:rPr>
      </w:pPr>
    </w:p>
    <w:sectPr w:rsidR="003D6DD4" w:rsidRPr="00A4438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1A2C3" w14:textId="77777777" w:rsidR="00122225" w:rsidRDefault="00122225" w:rsidP="003E6DFC">
      <w:pPr>
        <w:spacing w:after="0" w:line="240" w:lineRule="auto"/>
      </w:pPr>
      <w:r>
        <w:separator/>
      </w:r>
    </w:p>
  </w:endnote>
  <w:endnote w:type="continuationSeparator" w:id="0">
    <w:p w14:paraId="76B35638" w14:textId="77777777" w:rsidR="00122225" w:rsidRDefault="00122225" w:rsidP="003E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856767"/>
      <w:docPartObj>
        <w:docPartGallery w:val="Page Numbers (Bottom of Page)"/>
        <w:docPartUnique/>
      </w:docPartObj>
    </w:sdtPr>
    <w:sdtEndPr>
      <w:rPr>
        <w:noProof/>
      </w:rPr>
    </w:sdtEndPr>
    <w:sdtContent>
      <w:p w14:paraId="5E7E90E7" w14:textId="1D840F52" w:rsidR="0094192D" w:rsidRDefault="0094192D">
        <w:pPr>
          <w:pStyle w:val="Footer"/>
          <w:jc w:val="right"/>
        </w:pPr>
        <w:r>
          <w:fldChar w:fldCharType="begin"/>
        </w:r>
        <w:r>
          <w:instrText xml:space="preserve"> PAGE   \* MERGEFORMAT </w:instrText>
        </w:r>
        <w:r>
          <w:fldChar w:fldCharType="separate"/>
        </w:r>
        <w:r w:rsidR="005317F5">
          <w:rPr>
            <w:noProof/>
          </w:rPr>
          <w:t>4</w:t>
        </w:r>
        <w:r>
          <w:rPr>
            <w:noProof/>
          </w:rPr>
          <w:fldChar w:fldCharType="end"/>
        </w:r>
      </w:p>
    </w:sdtContent>
  </w:sdt>
  <w:p w14:paraId="616E3E51" w14:textId="77777777" w:rsidR="0094192D" w:rsidRDefault="00941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483D" w14:textId="77777777" w:rsidR="00122225" w:rsidRDefault="00122225" w:rsidP="003E6DFC">
      <w:pPr>
        <w:spacing w:after="0" w:line="240" w:lineRule="auto"/>
      </w:pPr>
      <w:r>
        <w:separator/>
      </w:r>
    </w:p>
  </w:footnote>
  <w:footnote w:type="continuationSeparator" w:id="0">
    <w:p w14:paraId="513715AC" w14:textId="77777777" w:rsidR="00122225" w:rsidRDefault="00122225" w:rsidP="003E6DFC">
      <w:pPr>
        <w:spacing w:after="0" w:line="240" w:lineRule="auto"/>
      </w:pPr>
      <w:r>
        <w:continuationSeparator/>
      </w:r>
    </w:p>
  </w:footnote>
  <w:footnote w:id="1">
    <w:p w14:paraId="13B3E031" w14:textId="77777777" w:rsidR="006A5B90" w:rsidRPr="006A5B90" w:rsidRDefault="006A5B90" w:rsidP="006A5B90">
      <w:pPr>
        <w:pStyle w:val="FootnoteText"/>
        <w:rPr>
          <w:rFonts w:cstheme="minorHAnsi"/>
        </w:rPr>
      </w:pPr>
      <w:r w:rsidRPr="006A5B90">
        <w:rPr>
          <w:rStyle w:val="FootnoteReference"/>
          <w:rFonts w:cstheme="minorHAnsi"/>
        </w:rPr>
        <w:footnoteRef/>
      </w:r>
      <w:r w:rsidRPr="006A5B90">
        <w:rPr>
          <w:rFonts w:cstheme="minorHAnsi"/>
        </w:rPr>
        <w:t xml:space="preserve"> For example, we received 20 responses from academics who were registered architects – of these 12 responded as individuals and eight responded on behalf of organisations. When we say ‘academics who were registered architects’ in the rest of this report, we will be referring to the full 20 respondents.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3AE"/>
    <w:multiLevelType w:val="hybridMultilevel"/>
    <w:tmpl w:val="44FA9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E0F99"/>
    <w:multiLevelType w:val="hybridMultilevel"/>
    <w:tmpl w:val="39CA5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0BDE"/>
    <w:multiLevelType w:val="hybridMultilevel"/>
    <w:tmpl w:val="0B8A18C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A8B2A2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656500"/>
    <w:multiLevelType w:val="hybridMultilevel"/>
    <w:tmpl w:val="067C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7B0F18"/>
    <w:multiLevelType w:val="hybridMultilevel"/>
    <w:tmpl w:val="5C3E51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0F4927CE"/>
    <w:multiLevelType w:val="hybridMultilevel"/>
    <w:tmpl w:val="A7DE8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3609A"/>
    <w:multiLevelType w:val="multilevel"/>
    <w:tmpl w:val="719AB3B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8B75214"/>
    <w:multiLevelType w:val="hybridMultilevel"/>
    <w:tmpl w:val="055CE178"/>
    <w:lvl w:ilvl="0" w:tplc="70BAFF80">
      <w:start w:val="1"/>
      <w:numFmt w:val="bullet"/>
      <w:lvlText w:val=""/>
      <w:lvlJc w:val="left"/>
      <w:pPr>
        <w:tabs>
          <w:tab w:val="num" w:pos="720"/>
        </w:tabs>
        <w:ind w:left="720" w:hanging="360"/>
      </w:pPr>
      <w:rPr>
        <w:rFonts w:ascii="Wingdings" w:hAnsi="Wingdings" w:hint="default"/>
      </w:rPr>
    </w:lvl>
    <w:lvl w:ilvl="1" w:tplc="6C2E7FB2">
      <w:numFmt w:val="bullet"/>
      <w:lvlText w:val=""/>
      <w:lvlJc w:val="left"/>
      <w:pPr>
        <w:tabs>
          <w:tab w:val="num" w:pos="1440"/>
        </w:tabs>
        <w:ind w:left="1440" w:hanging="360"/>
      </w:pPr>
      <w:rPr>
        <w:rFonts w:ascii="Wingdings" w:hAnsi="Wingdings" w:hint="default"/>
      </w:rPr>
    </w:lvl>
    <w:lvl w:ilvl="2" w:tplc="475CF12A" w:tentative="1">
      <w:start w:val="1"/>
      <w:numFmt w:val="bullet"/>
      <w:lvlText w:val=""/>
      <w:lvlJc w:val="left"/>
      <w:pPr>
        <w:tabs>
          <w:tab w:val="num" w:pos="2160"/>
        </w:tabs>
        <w:ind w:left="2160" w:hanging="360"/>
      </w:pPr>
      <w:rPr>
        <w:rFonts w:ascii="Wingdings" w:hAnsi="Wingdings" w:hint="default"/>
      </w:rPr>
    </w:lvl>
    <w:lvl w:ilvl="3" w:tplc="7AAC80B6" w:tentative="1">
      <w:start w:val="1"/>
      <w:numFmt w:val="bullet"/>
      <w:lvlText w:val=""/>
      <w:lvlJc w:val="left"/>
      <w:pPr>
        <w:tabs>
          <w:tab w:val="num" w:pos="2880"/>
        </w:tabs>
        <w:ind w:left="2880" w:hanging="360"/>
      </w:pPr>
      <w:rPr>
        <w:rFonts w:ascii="Wingdings" w:hAnsi="Wingdings" w:hint="default"/>
      </w:rPr>
    </w:lvl>
    <w:lvl w:ilvl="4" w:tplc="554CAA80" w:tentative="1">
      <w:start w:val="1"/>
      <w:numFmt w:val="bullet"/>
      <w:lvlText w:val=""/>
      <w:lvlJc w:val="left"/>
      <w:pPr>
        <w:tabs>
          <w:tab w:val="num" w:pos="3600"/>
        </w:tabs>
        <w:ind w:left="3600" w:hanging="360"/>
      </w:pPr>
      <w:rPr>
        <w:rFonts w:ascii="Wingdings" w:hAnsi="Wingdings" w:hint="default"/>
      </w:rPr>
    </w:lvl>
    <w:lvl w:ilvl="5" w:tplc="8F401462" w:tentative="1">
      <w:start w:val="1"/>
      <w:numFmt w:val="bullet"/>
      <w:lvlText w:val=""/>
      <w:lvlJc w:val="left"/>
      <w:pPr>
        <w:tabs>
          <w:tab w:val="num" w:pos="4320"/>
        </w:tabs>
        <w:ind w:left="4320" w:hanging="360"/>
      </w:pPr>
      <w:rPr>
        <w:rFonts w:ascii="Wingdings" w:hAnsi="Wingdings" w:hint="default"/>
      </w:rPr>
    </w:lvl>
    <w:lvl w:ilvl="6" w:tplc="47A4C54A" w:tentative="1">
      <w:start w:val="1"/>
      <w:numFmt w:val="bullet"/>
      <w:lvlText w:val=""/>
      <w:lvlJc w:val="left"/>
      <w:pPr>
        <w:tabs>
          <w:tab w:val="num" w:pos="5040"/>
        </w:tabs>
        <w:ind w:left="5040" w:hanging="360"/>
      </w:pPr>
      <w:rPr>
        <w:rFonts w:ascii="Wingdings" w:hAnsi="Wingdings" w:hint="default"/>
      </w:rPr>
    </w:lvl>
    <w:lvl w:ilvl="7" w:tplc="5B0C5702" w:tentative="1">
      <w:start w:val="1"/>
      <w:numFmt w:val="bullet"/>
      <w:lvlText w:val=""/>
      <w:lvlJc w:val="left"/>
      <w:pPr>
        <w:tabs>
          <w:tab w:val="num" w:pos="5760"/>
        </w:tabs>
        <w:ind w:left="5760" w:hanging="360"/>
      </w:pPr>
      <w:rPr>
        <w:rFonts w:ascii="Wingdings" w:hAnsi="Wingdings" w:hint="default"/>
      </w:rPr>
    </w:lvl>
    <w:lvl w:ilvl="8" w:tplc="7924C9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B6F73"/>
    <w:multiLevelType w:val="hybridMultilevel"/>
    <w:tmpl w:val="AA3A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A1E8D"/>
    <w:multiLevelType w:val="hybridMultilevel"/>
    <w:tmpl w:val="8B24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63FB4"/>
    <w:multiLevelType w:val="hybridMultilevel"/>
    <w:tmpl w:val="F28EEE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87512"/>
    <w:multiLevelType w:val="hybridMultilevel"/>
    <w:tmpl w:val="DE7E2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806D1"/>
    <w:multiLevelType w:val="hybridMultilevel"/>
    <w:tmpl w:val="6E58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31A7D"/>
    <w:multiLevelType w:val="hybridMultilevel"/>
    <w:tmpl w:val="D5CA4A1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274B1A2D"/>
    <w:multiLevelType w:val="hybridMultilevel"/>
    <w:tmpl w:val="C01ED7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60F5E"/>
    <w:multiLevelType w:val="hybridMultilevel"/>
    <w:tmpl w:val="75E2D7B2"/>
    <w:lvl w:ilvl="0" w:tplc="7A382560">
      <w:start w:val="1"/>
      <w:numFmt w:val="bullet"/>
      <w:lvlText w:val=""/>
      <w:lvlJc w:val="left"/>
      <w:pPr>
        <w:tabs>
          <w:tab w:val="num" w:pos="720"/>
        </w:tabs>
        <w:ind w:left="720" w:hanging="360"/>
      </w:pPr>
      <w:rPr>
        <w:rFonts w:ascii="Wingdings" w:hAnsi="Wingdings" w:hint="default"/>
      </w:rPr>
    </w:lvl>
    <w:lvl w:ilvl="1" w:tplc="1B666C4E" w:tentative="1">
      <w:start w:val="1"/>
      <w:numFmt w:val="bullet"/>
      <w:lvlText w:val=""/>
      <w:lvlJc w:val="left"/>
      <w:pPr>
        <w:tabs>
          <w:tab w:val="num" w:pos="1440"/>
        </w:tabs>
        <w:ind w:left="1440" w:hanging="360"/>
      </w:pPr>
      <w:rPr>
        <w:rFonts w:ascii="Wingdings" w:hAnsi="Wingdings" w:hint="default"/>
      </w:rPr>
    </w:lvl>
    <w:lvl w:ilvl="2" w:tplc="760E95F8" w:tentative="1">
      <w:start w:val="1"/>
      <w:numFmt w:val="bullet"/>
      <w:lvlText w:val=""/>
      <w:lvlJc w:val="left"/>
      <w:pPr>
        <w:tabs>
          <w:tab w:val="num" w:pos="2160"/>
        </w:tabs>
        <w:ind w:left="2160" w:hanging="360"/>
      </w:pPr>
      <w:rPr>
        <w:rFonts w:ascii="Wingdings" w:hAnsi="Wingdings" w:hint="default"/>
      </w:rPr>
    </w:lvl>
    <w:lvl w:ilvl="3" w:tplc="BEC88F24" w:tentative="1">
      <w:start w:val="1"/>
      <w:numFmt w:val="bullet"/>
      <w:lvlText w:val=""/>
      <w:lvlJc w:val="left"/>
      <w:pPr>
        <w:tabs>
          <w:tab w:val="num" w:pos="2880"/>
        </w:tabs>
        <w:ind w:left="2880" w:hanging="360"/>
      </w:pPr>
      <w:rPr>
        <w:rFonts w:ascii="Wingdings" w:hAnsi="Wingdings" w:hint="default"/>
      </w:rPr>
    </w:lvl>
    <w:lvl w:ilvl="4" w:tplc="E8F80A70" w:tentative="1">
      <w:start w:val="1"/>
      <w:numFmt w:val="bullet"/>
      <w:lvlText w:val=""/>
      <w:lvlJc w:val="left"/>
      <w:pPr>
        <w:tabs>
          <w:tab w:val="num" w:pos="3600"/>
        </w:tabs>
        <w:ind w:left="3600" w:hanging="360"/>
      </w:pPr>
      <w:rPr>
        <w:rFonts w:ascii="Wingdings" w:hAnsi="Wingdings" w:hint="default"/>
      </w:rPr>
    </w:lvl>
    <w:lvl w:ilvl="5" w:tplc="EC7255C4" w:tentative="1">
      <w:start w:val="1"/>
      <w:numFmt w:val="bullet"/>
      <w:lvlText w:val=""/>
      <w:lvlJc w:val="left"/>
      <w:pPr>
        <w:tabs>
          <w:tab w:val="num" w:pos="4320"/>
        </w:tabs>
        <w:ind w:left="4320" w:hanging="360"/>
      </w:pPr>
      <w:rPr>
        <w:rFonts w:ascii="Wingdings" w:hAnsi="Wingdings" w:hint="default"/>
      </w:rPr>
    </w:lvl>
    <w:lvl w:ilvl="6" w:tplc="DB18C95E" w:tentative="1">
      <w:start w:val="1"/>
      <w:numFmt w:val="bullet"/>
      <w:lvlText w:val=""/>
      <w:lvlJc w:val="left"/>
      <w:pPr>
        <w:tabs>
          <w:tab w:val="num" w:pos="5040"/>
        </w:tabs>
        <w:ind w:left="5040" w:hanging="360"/>
      </w:pPr>
      <w:rPr>
        <w:rFonts w:ascii="Wingdings" w:hAnsi="Wingdings" w:hint="default"/>
      </w:rPr>
    </w:lvl>
    <w:lvl w:ilvl="7" w:tplc="CE2267C6" w:tentative="1">
      <w:start w:val="1"/>
      <w:numFmt w:val="bullet"/>
      <w:lvlText w:val=""/>
      <w:lvlJc w:val="left"/>
      <w:pPr>
        <w:tabs>
          <w:tab w:val="num" w:pos="5760"/>
        </w:tabs>
        <w:ind w:left="5760" w:hanging="360"/>
      </w:pPr>
      <w:rPr>
        <w:rFonts w:ascii="Wingdings" w:hAnsi="Wingdings" w:hint="default"/>
      </w:rPr>
    </w:lvl>
    <w:lvl w:ilvl="8" w:tplc="9E98D6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B249D9"/>
    <w:multiLevelType w:val="hybridMultilevel"/>
    <w:tmpl w:val="AFB08F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909B8"/>
    <w:multiLevelType w:val="hybridMultilevel"/>
    <w:tmpl w:val="FF92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57234"/>
    <w:multiLevelType w:val="hybridMultilevel"/>
    <w:tmpl w:val="FEA6C7BA"/>
    <w:lvl w:ilvl="0" w:tplc="D3D07DAC">
      <w:start w:val="1"/>
      <w:numFmt w:val="bullet"/>
      <w:lvlText w:val=""/>
      <w:lvlJc w:val="left"/>
      <w:pPr>
        <w:tabs>
          <w:tab w:val="num" w:pos="720"/>
        </w:tabs>
        <w:ind w:left="720" w:hanging="360"/>
      </w:pPr>
      <w:rPr>
        <w:rFonts w:ascii="Wingdings" w:hAnsi="Wingdings" w:hint="default"/>
      </w:rPr>
    </w:lvl>
    <w:lvl w:ilvl="1" w:tplc="C660C68A" w:tentative="1">
      <w:start w:val="1"/>
      <w:numFmt w:val="bullet"/>
      <w:lvlText w:val=""/>
      <w:lvlJc w:val="left"/>
      <w:pPr>
        <w:tabs>
          <w:tab w:val="num" w:pos="1440"/>
        </w:tabs>
        <w:ind w:left="1440" w:hanging="360"/>
      </w:pPr>
      <w:rPr>
        <w:rFonts w:ascii="Wingdings" w:hAnsi="Wingdings" w:hint="default"/>
      </w:rPr>
    </w:lvl>
    <w:lvl w:ilvl="2" w:tplc="4B36B854" w:tentative="1">
      <w:start w:val="1"/>
      <w:numFmt w:val="bullet"/>
      <w:lvlText w:val=""/>
      <w:lvlJc w:val="left"/>
      <w:pPr>
        <w:tabs>
          <w:tab w:val="num" w:pos="2160"/>
        </w:tabs>
        <w:ind w:left="2160" w:hanging="360"/>
      </w:pPr>
      <w:rPr>
        <w:rFonts w:ascii="Wingdings" w:hAnsi="Wingdings" w:hint="default"/>
      </w:rPr>
    </w:lvl>
    <w:lvl w:ilvl="3" w:tplc="F890497C" w:tentative="1">
      <w:start w:val="1"/>
      <w:numFmt w:val="bullet"/>
      <w:lvlText w:val=""/>
      <w:lvlJc w:val="left"/>
      <w:pPr>
        <w:tabs>
          <w:tab w:val="num" w:pos="2880"/>
        </w:tabs>
        <w:ind w:left="2880" w:hanging="360"/>
      </w:pPr>
      <w:rPr>
        <w:rFonts w:ascii="Wingdings" w:hAnsi="Wingdings" w:hint="default"/>
      </w:rPr>
    </w:lvl>
    <w:lvl w:ilvl="4" w:tplc="87BA7B4C" w:tentative="1">
      <w:start w:val="1"/>
      <w:numFmt w:val="bullet"/>
      <w:lvlText w:val=""/>
      <w:lvlJc w:val="left"/>
      <w:pPr>
        <w:tabs>
          <w:tab w:val="num" w:pos="3600"/>
        </w:tabs>
        <w:ind w:left="3600" w:hanging="360"/>
      </w:pPr>
      <w:rPr>
        <w:rFonts w:ascii="Wingdings" w:hAnsi="Wingdings" w:hint="default"/>
      </w:rPr>
    </w:lvl>
    <w:lvl w:ilvl="5" w:tplc="896A3C7A" w:tentative="1">
      <w:start w:val="1"/>
      <w:numFmt w:val="bullet"/>
      <w:lvlText w:val=""/>
      <w:lvlJc w:val="left"/>
      <w:pPr>
        <w:tabs>
          <w:tab w:val="num" w:pos="4320"/>
        </w:tabs>
        <w:ind w:left="4320" w:hanging="360"/>
      </w:pPr>
      <w:rPr>
        <w:rFonts w:ascii="Wingdings" w:hAnsi="Wingdings" w:hint="default"/>
      </w:rPr>
    </w:lvl>
    <w:lvl w:ilvl="6" w:tplc="73808F88" w:tentative="1">
      <w:start w:val="1"/>
      <w:numFmt w:val="bullet"/>
      <w:lvlText w:val=""/>
      <w:lvlJc w:val="left"/>
      <w:pPr>
        <w:tabs>
          <w:tab w:val="num" w:pos="5040"/>
        </w:tabs>
        <w:ind w:left="5040" w:hanging="360"/>
      </w:pPr>
      <w:rPr>
        <w:rFonts w:ascii="Wingdings" w:hAnsi="Wingdings" w:hint="default"/>
      </w:rPr>
    </w:lvl>
    <w:lvl w:ilvl="7" w:tplc="B71C5886" w:tentative="1">
      <w:start w:val="1"/>
      <w:numFmt w:val="bullet"/>
      <w:lvlText w:val=""/>
      <w:lvlJc w:val="left"/>
      <w:pPr>
        <w:tabs>
          <w:tab w:val="num" w:pos="5760"/>
        </w:tabs>
        <w:ind w:left="5760" w:hanging="360"/>
      </w:pPr>
      <w:rPr>
        <w:rFonts w:ascii="Wingdings" w:hAnsi="Wingdings" w:hint="default"/>
      </w:rPr>
    </w:lvl>
    <w:lvl w:ilvl="8" w:tplc="6A84C1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E22BD0"/>
    <w:multiLevelType w:val="hybridMultilevel"/>
    <w:tmpl w:val="F916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BB6BE8"/>
    <w:multiLevelType w:val="multilevel"/>
    <w:tmpl w:val="09A2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B23FBE"/>
    <w:multiLevelType w:val="hybridMultilevel"/>
    <w:tmpl w:val="F28EEE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F726E"/>
    <w:multiLevelType w:val="hybridMultilevel"/>
    <w:tmpl w:val="6A941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B1805"/>
    <w:multiLevelType w:val="hybridMultilevel"/>
    <w:tmpl w:val="73A27EC6"/>
    <w:lvl w:ilvl="0" w:tplc="F5EAC23E">
      <w:start w:val="1"/>
      <w:numFmt w:val="bullet"/>
      <w:lvlText w:val=""/>
      <w:lvlJc w:val="left"/>
      <w:pPr>
        <w:tabs>
          <w:tab w:val="num" w:pos="720"/>
        </w:tabs>
        <w:ind w:left="720" w:hanging="360"/>
      </w:pPr>
      <w:rPr>
        <w:rFonts w:ascii="Wingdings" w:hAnsi="Wingdings" w:hint="default"/>
      </w:rPr>
    </w:lvl>
    <w:lvl w:ilvl="1" w:tplc="3778409C" w:tentative="1">
      <w:start w:val="1"/>
      <w:numFmt w:val="bullet"/>
      <w:lvlText w:val=""/>
      <w:lvlJc w:val="left"/>
      <w:pPr>
        <w:tabs>
          <w:tab w:val="num" w:pos="1440"/>
        </w:tabs>
        <w:ind w:left="1440" w:hanging="360"/>
      </w:pPr>
      <w:rPr>
        <w:rFonts w:ascii="Wingdings" w:hAnsi="Wingdings" w:hint="default"/>
      </w:rPr>
    </w:lvl>
    <w:lvl w:ilvl="2" w:tplc="2C2E50B2" w:tentative="1">
      <w:start w:val="1"/>
      <w:numFmt w:val="bullet"/>
      <w:lvlText w:val=""/>
      <w:lvlJc w:val="left"/>
      <w:pPr>
        <w:tabs>
          <w:tab w:val="num" w:pos="2160"/>
        </w:tabs>
        <w:ind w:left="2160" w:hanging="360"/>
      </w:pPr>
      <w:rPr>
        <w:rFonts w:ascii="Wingdings" w:hAnsi="Wingdings" w:hint="default"/>
      </w:rPr>
    </w:lvl>
    <w:lvl w:ilvl="3" w:tplc="17961F8E" w:tentative="1">
      <w:start w:val="1"/>
      <w:numFmt w:val="bullet"/>
      <w:lvlText w:val=""/>
      <w:lvlJc w:val="left"/>
      <w:pPr>
        <w:tabs>
          <w:tab w:val="num" w:pos="2880"/>
        </w:tabs>
        <w:ind w:left="2880" w:hanging="360"/>
      </w:pPr>
      <w:rPr>
        <w:rFonts w:ascii="Wingdings" w:hAnsi="Wingdings" w:hint="default"/>
      </w:rPr>
    </w:lvl>
    <w:lvl w:ilvl="4" w:tplc="1112633C" w:tentative="1">
      <w:start w:val="1"/>
      <w:numFmt w:val="bullet"/>
      <w:lvlText w:val=""/>
      <w:lvlJc w:val="left"/>
      <w:pPr>
        <w:tabs>
          <w:tab w:val="num" w:pos="3600"/>
        </w:tabs>
        <w:ind w:left="3600" w:hanging="360"/>
      </w:pPr>
      <w:rPr>
        <w:rFonts w:ascii="Wingdings" w:hAnsi="Wingdings" w:hint="default"/>
      </w:rPr>
    </w:lvl>
    <w:lvl w:ilvl="5" w:tplc="92929998" w:tentative="1">
      <w:start w:val="1"/>
      <w:numFmt w:val="bullet"/>
      <w:lvlText w:val=""/>
      <w:lvlJc w:val="left"/>
      <w:pPr>
        <w:tabs>
          <w:tab w:val="num" w:pos="4320"/>
        </w:tabs>
        <w:ind w:left="4320" w:hanging="360"/>
      </w:pPr>
      <w:rPr>
        <w:rFonts w:ascii="Wingdings" w:hAnsi="Wingdings" w:hint="default"/>
      </w:rPr>
    </w:lvl>
    <w:lvl w:ilvl="6" w:tplc="DAD6D6B8" w:tentative="1">
      <w:start w:val="1"/>
      <w:numFmt w:val="bullet"/>
      <w:lvlText w:val=""/>
      <w:lvlJc w:val="left"/>
      <w:pPr>
        <w:tabs>
          <w:tab w:val="num" w:pos="5040"/>
        </w:tabs>
        <w:ind w:left="5040" w:hanging="360"/>
      </w:pPr>
      <w:rPr>
        <w:rFonts w:ascii="Wingdings" w:hAnsi="Wingdings" w:hint="default"/>
      </w:rPr>
    </w:lvl>
    <w:lvl w:ilvl="7" w:tplc="008A13D0" w:tentative="1">
      <w:start w:val="1"/>
      <w:numFmt w:val="bullet"/>
      <w:lvlText w:val=""/>
      <w:lvlJc w:val="left"/>
      <w:pPr>
        <w:tabs>
          <w:tab w:val="num" w:pos="5760"/>
        </w:tabs>
        <w:ind w:left="5760" w:hanging="360"/>
      </w:pPr>
      <w:rPr>
        <w:rFonts w:ascii="Wingdings" w:hAnsi="Wingdings" w:hint="default"/>
      </w:rPr>
    </w:lvl>
    <w:lvl w:ilvl="8" w:tplc="7AA80F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674222"/>
    <w:multiLevelType w:val="hybridMultilevel"/>
    <w:tmpl w:val="8ED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8D7832"/>
    <w:multiLevelType w:val="hybridMultilevel"/>
    <w:tmpl w:val="E88620DE"/>
    <w:lvl w:ilvl="0" w:tplc="58BA5D9E">
      <w:start w:val="1"/>
      <w:numFmt w:val="bullet"/>
      <w:lvlText w:val=""/>
      <w:lvlJc w:val="left"/>
      <w:pPr>
        <w:tabs>
          <w:tab w:val="num" w:pos="720"/>
        </w:tabs>
        <w:ind w:left="720" w:hanging="360"/>
      </w:pPr>
      <w:rPr>
        <w:rFonts w:ascii="Wingdings" w:hAnsi="Wingdings" w:hint="default"/>
      </w:rPr>
    </w:lvl>
    <w:lvl w:ilvl="1" w:tplc="D25CAB6A" w:tentative="1">
      <w:start w:val="1"/>
      <w:numFmt w:val="bullet"/>
      <w:lvlText w:val=""/>
      <w:lvlJc w:val="left"/>
      <w:pPr>
        <w:tabs>
          <w:tab w:val="num" w:pos="1440"/>
        </w:tabs>
        <w:ind w:left="1440" w:hanging="360"/>
      </w:pPr>
      <w:rPr>
        <w:rFonts w:ascii="Wingdings" w:hAnsi="Wingdings" w:hint="default"/>
      </w:rPr>
    </w:lvl>
    <w:lvl w:ilvl="2" w:tplc="835CC1AC" w:tentative="1">
      <w:start w:val="1"/>
      <w:numFmt w:val="bullet"/>
      <w:lvlText w:val=""/>
      <w:lvlJc w:val="left"/>
      <w:pPr>
        <w:tabs>
          <w:tab w:val="num" w:pos="2160"/>
        </w:tabs>
        <w:ind w:left="2160" w:hanging="360"/>
      </w:pPr>
      <w:rPr>
        <w:rFonts w:ascii="Wingdings" w:hAnsi="Wingdings" w:hint="default"/>
      </w:rPr>
    </w:lvl>
    <w:lvl w:ilvl="3" w:tplc="5DFCEB12" w:tentative="1">
      <w:start w:val="1"/>
      <w:numFmt w:val="bullet"/>
      <w:lvlText w:val=""/>
      <w:lvlJc w:val="left"/>
      <w:pPr>
        <w:tabs>
          <w:tab w:val="num" w:pos="2880"/>
        </w:tabs>
        <w:ind w:left="2880" w:hanging="360"/>
      </w:pPr>
      <w:rPr>
        <w:rFonts w:ascii="Wingdings" w:hAnsi="Wingdings" w:hint="default"/>
      </w:rPr>
    </w:lvl>
    <w:lvl w:ilvl="4" w:tplc="D6AC050A" w:tentative="1">
      <w:start w:val="1"/>
      <w:numFmt w:val="bullet"/>
      <w:lvlText w:val=""/>
      <w:lvlJc w:val="left"/>
      <w:pPr>
        <w:tabs>
          <w:tab w:val="num" w:pos="3600"/>
        </w:tabs>
        <w:ind w:left="3600" w:hanging="360"/>
      </w:pPr>
      <w:rPr>
        <w:rFonts w:ascii="Wingdings" w:hAnsi="Wingdings" w:hint="default"/>
      </w:rPr>
    </w:lvl>
    <w:lvl w:ilvl="5" w:tplc="A6A69706" w:tentative="1">
      <w:start w:val="1"/>
      <w:numFmt w:val="bullet"/>
      <w:lvlText w:val=""/>
      <w:lvlJc w:val="left"/>
      <w:pPr>
        <w:tabs>
          <w:tab w:val="num" w:pos="4320"/>
        </w:tabs>
        <w:ind w:left="4320" w:hanging="360"/>
      </w:pPr>
      <w:rPr>
        <w:rFonts w:ascii="Wingdings" w:hAnsi="Wingdings" w:hint="default"/>
      </w:rPr>
    </w:lvl>
    <w:lvl w:ilvl="6" w:tplc="33603352" w:tentative="1">
      <w:start w:val="1"/>
      <w:numFmt w:val="bullet"/>
      <w:lvlText w:val=""/>
      <w:lvlJc w:val="left"/>
      <w:pPr>
        <w:tabs>
          <w:tab w:val="num" w:pos="5040"/>
        </w:tabs>
        <w:ind w:left="5040" w:hanging="360"/>
      </w:pPr>
      <w:rPr>
        <w:rFonts w:ascii="Wingdings" w:hAnsi="Wingdings" w:hint="default"/>
      </w:rPr>
    </w:lvl>
    <w:lvl w:ilvl="7" w:tplc="62B2A1D6" w:tentative="1">
      <w:start w:val="1"/>
      <w:numFmt w:val="bullet"/>
      <w:lvlText w:val=""/>
      <w:lvlJc w:val="left"/>
      <w:pPr>
        <w:tabs>
          <w:tab w:val="num" w:pos="5760"/>
        </w:tabs>
        <w:ind w:left="5760" w:hanging="360"/>
      </w:pPr>
      <w:rPr>
        <w:rFonts w:ascii="Wingdings" w:hAnsi="Wingdings" w:hint="default"/>
      </w:rPr>
    </w:lvl>
    <w:lvl w:ilvl="8" w:tplc="FD100B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8D083A"/>
    <w:multiLevelType w:val="hybridMultilevel"/>
    <w:tmpl w:val="727C75B8"/>
    <w:lvl w:ilvl="0" w:tplc="8D7C46AC">
      <w:start w:val="1"/>
      <w:numFmt w:val="bullet"/>
      <w:lvlText w:val=""/>
      <w:lvlJc w:val="left"/>
      <w:pPr>
        <w:tabs>
          <w:tab w:val="num" w:pos="720"/>
        </w:tabs>
        <w:ind w:left="720" w:hanging="360"/>
      </w:pPr>
      <w:rPr>
        <w:rFonts w:ascii="Wingdings" w:hAnsi="Wingdings" w:hint="default"/>
      </w:rPr>
    </w:lvl>
    <w:lvl w:ilvl="1" w:tplc="C1CA1910" w:tentative="1">
      <w:start w:val="1"/>
      <w:numFmt w:val="bullet"/>
      <w:lvlText w:val=""/>
      <w:lvlJc w:val="left"/>
      <w:pPr>
        <w:tabs>
          <w:tab w:val="num" w:pos="1440"/>
        </w:tabs>
        <w:ind w:left="1440" w:hanging="360"/>
      </w:pPr>
      <w:rPr>
        <w:rFonts w:ascii="Wingdings" w:hAnsi="Wingdings" w:hint="default"/>
      </w:rPr>
    </w:lvl>
    <w:lvl w:ilvl="2" w:tplc="BD3C5240" w:tentative="1">
      <w:start w:val="1"/>
      <w:numFmt w:val="bullet"/>
      <w:lvlText w:val=""/>
      <w:lvlJc w:val="left"/>
      <w:pPr>
        <w:tabs>
          <w:tab w:val="num" w:pos="2160"/>
        </w:tabs>
        <w:ind w:left="2160" w:hanging="360"/>
      </w:pPr>
      <w:rPr>
        <w:rFonts w:ascii="Wingdings" w:hAnsi="Wingdings" w:hint="default"/>
      </w:rPr>
    </w:lvl>
    <w:lvl w:ilvl="3" w:tplc="D6E48902" w:tentative="1">
      <w:start w:val="1"/>
      <w:numFmt w:val="bullet"/>
      <w:lvlText w:val=""/>
      <w:lvlJc w:val="left"/>
      <w:pPr>
        <w:tabs>
          <w:tab w:val="num" w:pos="2880"/>
        </w:tabs>
        <w:ind w:left="2880" w:hanging="360"/>
      </w:pPr>
      <w:rPr>
        <w:rFonts w:ascii="Wingdings" w:hAnsi="Wingdings" w:hint="default"/>
      </w:rPr>
    </w:lvl>
    <w:lvl w:ilvl="4" w:tplc="A4641A30" w:tentative="1">
      <w:start w:val="1"/>
      <w:numFmt w:val="bullet"/>
      <w:lvlText w:val=""/>
      <w:lvlJc w:val="left"/>
      <w:pPr>
        <w:tabs>
          <w:tab w:val="num" w:pos="3600"/>
        </w:tabs>
        <w:ind w:left="3600" w:hanging="360"/>
      </w:pPr>
      <w:rPr>
        <w:rFonts w:ascii="Wingdings" w:hAnsi="Wingdings" w:hint="default"/>
      </w:rPr>
    </w:lvl>
    <w:lvl w:ilvl="5" w:tplc="E3FA9F38" w:tentative="1">
      <w:start w:val="1"/>
      <w:numFmt w:val="bullet"/>
      <w:lvlText w:val=""/>
      <w:lvlJc w:val="left"/>
      <w:pPr>
        <w:tabs>
          <w:tab w:val="num" w:pos="4320"/>
        </w:tabs>
        <w:ind w:left="4320" w:hanging="360"/>
      </w:pPr>
      <w:rPr>
        <w:rFonts w:ascii="Wingdings" w:hAnsi="Wingdings" w:hint="default"/>
      </w:rPr>
    </w:lvl>
    <w:lvl w:ilvl="6" w:tplc="90081470" w:tentative="1">
      <w:start w:val="1"/>
      <w:numFmt w:val="bullet"/>
      <w:lvlText w:val=""/>
      <w:lvlJc w:val="left"/>
      <w:pPr>
        <w:tabs>
          <w:tab w:val="num" w:pos="5040"/>
        </w:tabs>
        <w:ind w:left="5040" w:hanging="360"/>
      </w:pPr>
      <w:rPr>
        <w:rFonts w:ascii="Wingdings" w:hAnsi="Wingdings" w:hint="default"/>
      </w:rPr>
    </w:lvl>
    <w:lvl w:ilvl="7" w:tplc="54EC6510" w:tentative="1">
      <w:start w:val="1"/>
      <w:numFmt w:val="bullet"/>
      <w:lvlText w:val=""/>
      <w:lvlJc w:val="left"/>
      <w:pPr>
        <w:tabs>
          <w:tab w:val="num" w:pos="5760"/>
        </w:tabs>
        <w:ind w:left="5760" w:hanging="360"/>
      </w:pPr>
      <w:rPr>
        <w:rFonts w:ascii="Wingdings" w:hAnsi="Wingdings" w:hint="default"/>
      </w:rPr>
    </w:lvl>
    <w:lvl w:ilvl="8" w:tplc="A090420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74D77"/>
    <w:multiLevelType w:val="hybridMultilevel"/>
    <w:tmpl w:val="3580D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877A2F"/>
    <w:multiLevelType w:val="hybridMultilevel"/>
    <w:tmpl w:val="42B69A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61387F14"/>
    <w:multiLevelType w:val="hybridMultilevel"/>
    <w:tmpl w:val="07280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7162F8"/>
    <w:multiLevelType w:val="hybridMultilevel"/>
    <w:tmpl w:val="2EA6FF90"/>
    <w:lvl w:ilvl="0" w:tplc="DC72917C">
      <w:start w:val="1"/>
      <w:numFmt w:val="bullet"/>
      <w:lvlText w:val=""/>
      <w:lvlJc w:val="left"/>
      <w:pPr>
        <w:tabs>
          <w:tab w:val="num" w:pos="720"/>
        </w:tabs>
        <w:ind w:left="720" w:hanging="360"/>
      </w:pPr>
      <w:rPr>
        <w:rFonts w:ascii="Wingdings" w:hAnsi="Wingdings" w:hint="default"/>
      </w:rPr>
    </w:lvl>
    <w:lvl w:ilvl="1" w:tplc="B134AF3A" w:tentative="1">
      <w:start w:val="1"/>
      <w:numFmt w:val="bullet"/>
      <w:lvlText w:val=""/>
      <w:lvlJc w:val="left"/>
      <w:pPr>
        <w:tabs>
          <w:tab w:val="num" w:pos="1440"/>
        </w:tabs>
        <w:ind w:left="1440" w:hanging="360"/>
      </w:pPr>
      <w:rPr>
        <w:rFonts w:ascii="Wingdings" w:hAnsi="Wingdings" w:hint="default"/>
      </w:rPr>
    </w:lvl>
    <w:lvl w:ilvl="2" w:tplc="EBD6EF32" w:tentative="1">
      <w:start w:val="1"/>
      <w:numFmt w:val="bullet"/>
      <w:lvlText w:val=""/>
      <w:lvlJc w:val="left"/>
      <w:pPr>
        <w:tabs>
          <w:tab w:val="num" w:pos="2160"/>
        </w:tabs>
        <w:ind w:left="2160" w:hanging="360"/>
      </w:pPr>
      <w:rPr>
        <w:rFonts w:ascii="Wingdings" w:hAnsi="Wingdings" w:hint="default"/>
      </w:rPr>
    </w:lvl>
    <w:lvl w:ilvl="3" w:tplc="E592B55C" w:tentative="1">
      <w:start w:val="1"/>
      <w:numFmt w:val="bullet"/>
      <w:lvlText w:val=""/>
      <w:lvlJc w:val="left"/>
      <w:pPr>
        <w:tabs>
          <w:tab w:val="num" w:pos="2880"/>
        </w:tabs>
        <w:ind w:left="2880" w:hanging="360"/>
      </w:pPr>
      <w:rPr>
        <w:rFonts w:ascii="Wingdings" w:hAnsi="Wingdings" w:hint="default"/>
      </w:rPr>
    </w:lvl>
    <w:lvl w:ilvl="4" w:tplc="1A08E934" w:tentative="1">
      <w:start w:val="1"/>
      <w:numFmt w:val="bullet"/>
      <w:lvlText w:val=""/>
      <w:lvlJc w:val="left"/>
      <w:pPr>
        <w:tabs>
          <w:tab w:val="num" w:pos="3600"/>
        </w:tabs>
        <w:ind w:left="3600" w:hanging="360"/>
      </w:pPr>
      <w:rPr>
        <w:rFonts w:ascii="Wingdings" w:hAnsi="Wingdings" w:hint="default"/>
      </w:rPr>
    </w:lvl>
    <w:lvl w:ilvl="5" w:tplc="F7B22546" w:tentative="1">
      <w:start w:val="1"/>
      <w:numFmt w:val="bullet"/>
      <w:lvlText w:val=""/>
      <w:lvlJc w:val="left"/>
      <w:pPr>
        <w:tabs>
          <w:tab w:val="num" w:pos="4320"/>
        </w:tabs>
        <w:ind w:left="4320" w:hanging="360"/>
      </w:pPr>
      <w:rPr>
        <w:rFonts w:ascii="Wingdings" w:hAnsi="Wingdings" w:hint="default"/>
      </w:rPr>
    </w:lvl>
    <w:lvl w:ilvl="6" w:tplc="3FD4F9C0" w:tentative="1">
      <w:start w:val="1"/>
      <w:numFmt w:val="bullet"/>
      <w:lvlText w:val=""/>
      <w:lvlJc w:val="left"/>
      <w:pPr>
        <w:tabs>
          <w:tab w:val="num" w:pos="5040"/>
        </w:tabs>
        <w:ind w:left="5040" w:hanging="360"/>
      </w:pPr>
      <w:rPr>
        <w:rFonts w:ascii="Wingdings" w:hAnsi="Wingdings" w:hint="default"/>
      </w:rPr>
    </w:lvl>
    <w:lvl w:ilvl="7" w:tplc="ECA07AC2" w:tentative="1">
      <w:start w:val="1"/>
      <w:numFmt w:val="bullet"/>
      <w:lvlText w:val=""/>
      <w:lvlJc w:val="left"/>
      <w:pPr>
        <w:tabs>
          <w:tab w:val="num" w:pos="5760"/>
        </w:tabs>
        <w:ind w:left="5760" w:hanging="360"/>
      </w:pPr>
      <w:rPr>
        <w:rFonts w:ascii="Wingdings" w:hAnsi="Wingdings" w:hint="default"/>
      </w:rPr>
    </w:lvl>
    <w:lvl w:ilvl="8" w:tplc="0AD02C4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060D4"/>
    <w:multiLevelType w:val="hybridMultilevel"/>
    <w:tmpl w:val="F3B628F8"/>
    <w:lvl w:ilvl="0" w:tplc="1DD6F0EA">
      <w:start w:val="1"/>
      <w:numFmt w:val="bullet"/>
      <w:lvlText w:val=""/>
      <w:lvlJc w:val="left"/>
      <w:pPr>
        <w:tabs>
          <w:tab w:val="num" w:pos="720"/>
        </w:tabs>
        <w:ind w:left="720" w:hanging="360"/>
      </w:pPr>
      <w:rPr>
        <w:rFonts w:ascii="Wingdings" w:hAnsi="Wingdings" w:hint="default"/>
      </w:rPr>
    </w:lvl>
    <w:lvl w:ilvl="1" w:tplc="FA181A10">
      <w:numFmt w:val="bullet"/>
      <w:lvlText w:val=""/>
      <w:lvlJc w:val="left"/>
      <w:pPr>
        <w:tabs>
          <w:tab w:val="num" w:pos="1440"/>
        </w:tabs>
        <w:ind w:left="1440" w:hanging="360"/>
      </w:pPr>
      <w:rPr>
        <w:rFonts w:ascii="Wingdings" w:hAnsi="Wingdings" w:hint="default"/>
      </w:rPr>
    </w:lvl>
    <w:lvl w:ilvl="2" w:tplc="622A54A2" w:tentative="1">
      <w:start w:val="1"/>
      <w:numFmt w:val="bullet"/>
      <w:lvlText w:val=""/>
      <w:lvlJc w:val="left"/>
      <w:pPr>
        <w:tabs>
          <w:tab w:val="num" w:pos="2160"/>
        </w:tabs>
        <w:ind w:left="2160" w:hanging="360"/>
      </w:pPr>
      <w:rPr>
        <w:rFonts w:ascii="Wingdings" w:hAnsi="Wingdings" w:hint="default"/>
      </w:rPr>
    </w:lvl>
    <w:lvl w:ilvl="3" w:tplc="22C8ABAC" w:tentative="1">
      <w:start w:val="1"/>
      <w:numFmt w:val="bullet"/>
      <w:lvlText w:val=""/>
      <w:lvlJc w:val="left"/>
      <w:pPr>
        <w:tabs>
          <w:tab w:val="num" w:pos="2880"/>
        </w:tabs>
        <w:ind w:left="2880" w:hanging="360"/>
      </w:pPr>
      <w:rPr>
        <w:rFonts w:ascii="Wingdings" w:hAnsi="Wingdings" w:hint="default"/>
      </w:rPr>
    </w:lvl>
    <w:lvl w:ilvl="4" w:tplc="7CD6801C" w:tentative="1">
      <w:start w:val="1"/>
      <w:numFmt w:val="bullet"/>
      <w:lvlText w:val=""/>
      <w:lvlJc w:val="left"/>
      <w:pPr>
        <w:tabs>
          <w:tab w:val="num" w:pos="3600"/>
        </w:tabs>
        <w:ind w:left="3600" w:hanging="360"/>
      </w:pPr>
      <w:rPr>
        <w:rFonts w:ascii="Wingdings" w:hAnsi="Wingdings" w:hint="default"/>
      </w:rPr>
    </w:lvl>
    <w:lvl w:ilvl="5" w:tplc="42981B1C" w:tentative="1">
      <w:start w:val="1"/>
      <w:numFmt w:val="bullet"/>
      <w:lvlText w:val=""/>
      <w:lvlJc w:val="left"/>
      <w:pPr>
        <w:tabs>
          <w:tab w:val="num" w:pos="4320"/>
        </w:tabs>
        <w:ind w:left="4320" w:hanging="360"/>
      </w:pPr>
      <w:rPr>
        <w:rFonts w:ascii="Wingdings" w:hAnsi="Wingdings" w:hint="default"/>
      </w:rPr>
    </w:lvl>
    <w:lvl w:ilvl="6" w:tplc="89CE2E12" w:tentative="1">
      <w:start w:val="1"/>
      <w:numFmt w:val="bullet"/>
      <w:lvlText w:val=""/>
      <w:lvlJc w:val="left"/>
      <w:pPr>
        <w:tabs>
          <w:tab w:val="num" w:pos="5040"/>
        </w:tabs>
        <w:ind w:left="5040" w:hanging="360"/>
      </w:pPr>
      <w:rPr>
        <w:rFonts w:ascii="Wingdings" w:hAnsi="Wingdings" w:hint="default"/>
      </w:rPr>
    </w:lvl>
    <w:lvl w:ilvl="7" w:tplc="C944CE68" w:tentative="1">
      <w:start w:val="1"/>
      <w:numFmt w:val="bullet"/>
      <w:lvlText w:val=""/>
      <w:lvlJc w:val="left"/>
      <w:pPr>
        <w:tabs>
          <w:tab w:val="num" w:pos="5760"/>
        </w:tabs>
        <w:ind w:left="5760" w:hanging="360"/>
      </w:pPr>
      <w:rPr>
        <w:rFonts w:ascii="Wingdings" w:hAnsi="Wingdings" w:hint="default"/>
      </w:rPr>
    </w:lvl>
    <w:lvl w:ilvl="8" w:tplc="0A8CDA5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7E031F"/>
    <w:multiLevelType w:val="hybridMultilevel"/>
    <w:tmpl w:val="D0201310"/>
    <w:lvl w:ilvl="0" w:tplc="96E43738">
      <w:start w:val="1"/>
      <w:numFmt w:val="bullet"/>
      <w:lvlText w:val=""/>
      <w:lvlJc w:val="left"/>
      <w:pPr>
        <w:tabs>
          <w:tab w:val="num" w:pos="720"/>
        </w:tabs>
        <w:ind w:left="720" w:hanging="360"/>
      </w:pPr>
      <w:rPr>
        <w:rFonts w:ascii="Wingdings" w:hAnsi="Wingdings" w:hint="default"/>
      </w:rPr>
    </w:lvl>
    <w:lvl w:ilvl="1" w:tplc="A92218DC" w:tentative="1">
      <w:start w:val="1"/>
      <w:numFmt w:val="bullet"/>
      <w:lvlText w:val=""/>
      <w:lvlJc w:val="left"/>
      <w:pPr>
        <w:tabs>
          <w:tab w:val="num" w:pos="1440"/>
        </w:tabs>
        <w:ind w:left="1440" w:hanging="360"/>
      </w:pPr>
      <w:rPr>
        <w:rFonts w:ascii="Wingdings" w:hAnsi="Wingdings" w:hint="default"/>
      </w:rPr>
    </w:lvl>
    <w:lvl w:ilvl="2" w:tplc="120485F8" w:tentative="1">
      <w:start w:val="1"/>
      <w:numFmt w:val="bullet"/>
      <w:lvlText w:val=""/>
      <w:lvlJc w:val="left"/>
      <w:pPr>
        <w:tabs>
          <w:tab w:val="num" w:pos="2160"/>
        </w:tabs>
        <w:ind w:left="2160" w:hanging="360"/>
      </w:pPr>
      <w:rPr>
        <w:rFonts w:ascii="Wingdings" w:hAnsi="Wingdings" w:hint="default"/>
      </w:rPr>
    </w:lvl>
    <w:lvl w:ilvl="3" w:tplc="00867E2C" w:tentative="1">
      <w:start w:val="1"/>
      <w:numFmt w:val="bullet"/>
      <w:lvlText w:val=""/>
      <w:lvlJc w:val="left"/>
      <w:pPr>
        <w:tabs>
          <w:tab w:val="num" w:pos="2880"/>
        </w:tabs>
        <w:ind w:left="2880" w:hanging="360"/>
      </w:pPr>
      <w:rPr>
        <w:rFonts w:ascii="Wingdings" w:hAnsi="Wingdings" w:hint="default"/>
      </w:rPr>
    </w:lvl>
    <w:lvl w:ilvl="4" w:tplc="DCFC4598" w:tentative="1">
      <w:start w:val="1"/>
      <w:numFmt w:val="bullet"/>
      <w:lvlText w:val=""/>
      <w:lvlJc w:val="left"/>
      <w:pPr>
        <w:tabs>
          <w:tab w:val="num" w:pos="3600"/>
        </w:tabs>
        <w:ind w:left="3600" w:hanging="360"/>
      </w:pPr>
      <w:rPr>
        <w:rFonts w:ascii="Wingdings" w:hAnsi="Wingdings" w:hint="default"/>
      </w:rPr>
    </w:lvl>
    <w:lvl w:ilvl="5" w:tplc="6E16CF36" w:tentative="1">
      <w:start w:val="1"/>
      <w:numFmt w:val="bullet"/>
      <w:lvlText w:val=""/>
      <w:lvlJc w:val="left"/>
      <w:pPr>
        <w:tabs>
          <w:tab w:val="num" w:pos="4320"/>
        </w:tabs>
        <w:ind w:left="4320" w:hanging="360"/>
      </w:pPr>
      <w:rPr>
        <w:rFonts w:ascii="Wingdings" w:hAnsi="Wingdings" w:hint="default"/>
      </w:rPr>
    </w:lvl>
    <w:lvl w:ilvl="6" w:tplc="C5F28646" w:tentative="1">
      <w:start w:val="1"/>
      <w:numFmt w:val="bullet"/>
      <w:lvlText w:val=""/>
      <w:lvlJc w:val="left"/>
      <w:pPr>
        <w:tabs>
          <w:tab w:val="num" w:pos="5040"/>
        </w:tabs>
        <w:ind w:left="5040" w:hanging="360"/>
      </w:pPr>
      <w:rPr>
        <w:rFonts w:ascii="Wingdings" w:hAnsi="Wingdings" w:hint="default"/>
      </w:rPr>
    </w:lvl>
    <w:lvl w:ilvl="7" w:tplc="B1BC2E66" w:tentative="1">
      <w:start w:val="1"/>
      <w:numFmt w:val="bullet"/>
      <w:lvlText w:val=""/>
      <w:lvlJc w:val="left"/>
      <w:pPr>
        <w:tabs>
          <w:tab w:val="num" w:pos="5760"/>
        </w:tabs>
        <w:ind w:left="5760" w:hanging="360"/>
      </w:pPr>
      <w:rPr>
        <w:rFonts w:ascii="Wingdings" w:hAnsi="Wingdings" w:hint="default"/>
      </w:rPr>
    </w:lvl>
    <w:lvl w:ilvl="8" w:tplc="69EE670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CB1124"/>
    <w:multiLevelType w:val="hybridMultilevel"/>
    <w:tmpl w:val="8DBA9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F342F"/>
    <w:multiLevelType w:val="hybridMultilevel"/>
    <w:tmpl w:val="3AECB99C"/>
    <w:lvl w:ilvl="0" w:tplc="4938783A">
      <w:start w:val="1"/>
      <w:numFmt w:val="decimal"/>
      <w:pStyle w:val="Heading1"/>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05322E"/>
    <w:multiLevelType w:val="hybridMultilevel"/>
    <w:tmpl w:val="6F5C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AB65D42"/>
    <w:multiLevelType w:val="hybridMultilevel"/>
    <w:tmpl w:val="F24A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56806"/>
    <w:multiLevelType w:val="hybridMultilevel"/>
    <w:tmpl w:val="F28EEE9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3"/>
  </w:num>
  <w:num w:numId="4">
    <w:abstractNumId w:val="2"/>
  </w:num>
  <w:num w:numId="5">
    <w:abstractNumId w:val="6"/>
  </w:num>
  <w:num w:numId="6">
    <w:abstractNumId w:val="36"/>
  </w:num>
  <w:num w:numId="7">
    <w:abstractNumId w:val="30"/>
  </w:num>
  <w:num w:numId="8">
    <w:abstractNumId w:val="13"/>
  </w:num>
  <w:num w:numId="9">
    <w:abstractNumId w:val="21"/>
  </w:num>
  <w:num w:numId="10">
    <w:abstractNumId w:val="38"/>
  </w:num>
  <w:num w:numId="11">
    <w:abstractNumId w:val="18"/>
  </w:num>
  <w:num w:numId="12">
    <w:abstractNumId w:val="22"/>
  </w:num>
  <w:num w:numId="13">
    <w:abstractNumId w:val="11"/>
  </w:num>
  <w:num w:numId="14">
    <w:abstractNumId w:val="1"/>
  </w:num>
  <w:num w:numId="15">
    <w:abstractNumId w:val="32"/>
  </w:num>
  <w:num w:numId="16">
    <w:abstractNumId w:val="27"/>
  </w:num>
  <w:num w:numId="17">
    <w:abstractNumId w:val="33"/>
  </w:num>
  <w:num w:numId="18">
    <w:abstractNumId w:val="14"/>
  </w:num>
  <w:num w:numId="19">
    <w:abstractNumId w:val="25"/>
  </w:num>
  <w:num w:numId="20">
    <w:abstractNumId w:val="15"/>
  </w:num>
  <w:num w:numId="21">
    <w:abstractNumId w:val="37"/>
  </w:num>
  <w:num w:numId="22">
    <w:abstractNumId w:val="17"/>
  </w:num>
  <w:num w:numId="23">
    <w:abstractNumId w:val="34"/>
  </w:num>
  <w:num w:numId="24">
    <w:abstractNumId w:val="10"/>
  </w:num>
  <w:num w:numId="25">
    <w:abstractNumId w:val="20"/>
  </w:num>
  <w:num w:numId="26">
    <w:abstractNumId w:val="31"/>
  </w:num>
  <w:num w:numId="27">
    <w:abstractNumId w:val="26"/>
  </w:num>
  <w:num w:numId="28">
    <w:abstractNumId w:val="4"/>
  </w:num>
  <w:num w:numId="29">
    <w:abstractNumId w:val="29"/>
  </w:num>
  <w:num w:numId="30">
    <w:abstractNumId w:val="9"/>
  </w:num>
  <w:num w:numId="31">
    <w:abstractNumId w:val="5"/>
  </w:num>
  <w:num w:numId="32">
    <w:abstractNumId w:val="3"/>
  </w:num>
  <w:num w:numId="33">
    <w:abstractNumId w:val="35"/>
  </w:num>
  <w:num w:numId="34">
    <w:abstractNumId w:val="7"/>
  </w:num>
  <w:num w:numId="35">
    <w:abstractNumId w:val="24"/>
  </w:num>
  <w:num w:numId="36">
    <w:abstractNumId w:val="8"/>
  </w:num>
  <w:num w:numId="37">
    <w:abstractNumId w:val="16"/>
  </w:num>
  <w:num w:numId="38">
    <w:abstractNumId w:val="19"/>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5C"/>
    <w:rsid w:val="00050B51"/>
    <w:rsid w:val="0005279C"/>
    <w:rsid w:val="00054682"/>
    <w:rsid w:val="0008015C"/>
    <w:rsid w:val="00097229"/>
    <w:rsid w:val="000973AE"/>
    <w:rsid w:val="000A4D75"/>
    <w:rsid w:val="000C3533"/>
    <w:rsid w:val="000C580D"/>
    <w:rsid w:val="000E249A"/>
    <w:rsid w:val="000F3516"/>
    <w:rsid w:val="00121845"/>
    <w:rsid w:val="00122225"/>
    <w:rsid w:val="00132FDA"/>
    <w:rsid w:val="00152C08"/>
    <w:rsid w:val="00170436"/>
    <w:rsid w:val="00175E5F"/>
    <w:rsid w:val="00182CFF"/>
    <w:rsid w:val="001972F3"/>
    <w:rsid w:val="001B0336"/>
    <w:rsid w:val="001B3BE3"/>
    <w:rsid w:val="001C3CFB"/>
    <w:rsid w:val="001C7C0B"/>
    <w:rsid w:val="001D6528"/>
    <w:rsid w:val="001E18D0"/>
    <w:rsid w:val="00206CA1"/>
    <w:rsid w:val="0022492A"/>
    <w:rsid w:val="002408E0"/>
    <w:rsid w:val="00261AA8"/>
    <w:rsid w:val="0026420B"/>
    <w:rsid w:val="00271088"/>
    <w:rsid w:val="00285A25"/>
    <w:rsid w:val="002909D2"/>
    <w:rsid w:val="00295E3A"/>
    <w:rsid w:val="002A4874"/>
    <w:rsid w:val="002C44FC"/>
    <w:rsid w:val="002D5476"/>
    <w:rsid w:val="002D5A7E"/>
    <w:rsid w:val="002F69A6"/>
    <w:rsid w:val="00334118"/>
    <w:rsid w:val="0035744B"/>
    <w:rsid w:val="003800E1"/>
    <w:rsid w:val="00391838"/>
    <w:rsid w:val="003B2685"/>
    <w:rsid w:val="003D5D44"/>
    <w:rsid w:val="003D6DD4"/>
    <w:rsid w:val="003E33B6"/>
    <w:rsid w:val="003E548D"/>
    <w:rsid w:val="003E6DFC"/>
    <w:rsid w:val="00413907"/>
    <w:rsid w:val="004209C1"/>
    <w:rsid w:val="00423271"/>
    <w:rsid w:val="00436B60"/>
    <w:rsid w:val="004478B9"/>
    <w:rsid w:val="00451846"/>
    <w:rsid w:val="00452B0C"/>
    <w:rsid w:val="00463326"/>
    <w:rsid w:val="00487D30"/>
    <w:rsid w:val="004A117E"/>
    <w:rsid w:val="004A1BC8"/>
    <w:rsid w:val="004A787F"/>
    <w:rsid w:val="004B118A"/>
    <w:rsid w:val="004E1B82"/>
    <w:rsid w:val="00501361"/>
    <w:rsid w:val="00503431"/>
    <w:rsid w:val="005216F4"/>
    <w:rsid w:val="005317F5"/>
    <w:rsid w:val="00532005"/>
    <w:rsid w:val="00546D94"/>
    <w:rsid w:val="00555FF0"/>
    <w:rsid w:val="00581A41"/>
    <w:rsid w:val="00582526"/>
    <w:rsid w:val="005B2527"/>
    <w:rsid w:val="005D4BE3"/>
    <w:rsid w:val="005E0BFE"/>
    <w:rsid w:val="005E30C4"/>
    <w:rsid w:val="005F06AC"/>
    <w:rsid w:val="00615398"/>
    <w:rsid w:val="00616066"/>
    <w:rsid w:val="00627E7F"/>
    <w:rsid w:val="00644D48"/>
    <w:rsid w:val="00670D98"/>
    <w:rsid w:val="0067355E"/>
    <w:rsid w:val="00686BA6"/>
    <w:rsid w:val="006A5B90"/>
    <w:rsid w:val="006D3814"/>
    <w:rsid w:val="006D5A49"/>
    <w:rsid w:val="006F3BCB"/>
    <w:rsid w:val="00721AF9"/>
    <w:rsid w:val="00736A77"/>
    <w:rsid w:val="00747C86"/>
    <w:rsid w:val="00760AF9"/>
    <w:rsid w:val="00776475"/>
    <w:rsid w:val="00796706"/>
    <w:rsid w:val="007A7D92"/>
    <w:rsid w:val="007B1789"/>
    <w:rsid w:val="007B1A5F"/>
    <w:rsid w:val="007C15B5"/>
    <w:rsid w:val="007F6DF0"/>
    <w:rsid w:val="0083221C"/>
    <w:rsid w:val="008427C5"/>
    <w:rsid w:val="0088016A"/>
    <w:rsid w:val="008A178D"/>
    <w:rsid w:val="008B3532"/>
    <w:rsid w:val="008B54E9"/>
    <w:rsid w:val="008D083A"/>
    <w:rsid w:val="008D0B72"/>
    <w:rsid w:val="008F2B1F"/>
    <w:rsid w:val="00910F1F"/>
    <w:rsid w:val="009343B7"/>
    <w:rsid w:val="00937B00"/>
    <w:rsid w:val="0094192D"/>
    <w:rsid w:val="009544C0"/>
    <w:rsid w:val="009673CC"/>
    <w:rsid w:val="0098600A"/>
    <w:rsid w:val="009A57BE"/>
    <w:rsid w:val="009B20C0"/>
    <w:rsid w:val="009B2BD5"/>
    <w:rsid w:val="009C6F8F"/>
    <w:rsid w:val="009E39D2"/>
    <w:rsid w:val="00A27AFE"/>
    <w:rsid w:val="00A41A6F"/>
    <w:rsid w:val="00A4438A"/>
    <w:rsid w:val="00A5663B"/>
    <w:rsid w:val="00A63AA2"/>
    <w:rsid w:val="00A76D8D"/>
    <w:rsid w:val="00AA7A07"/>
    <w:rsid w:val="00AF0A85"/>
    <w:rsid w:val="00B05E8D"/>
    <w:rsid w:val="00B750D3"/>
    <w:rsid w:val="00B75741"/>
    <w:rsid w:val="00B95F9C"/>
    <w:rsid w:val="00B97825"/>
    <w:rsid w:val="00BA4D8C"/>
    <w:rsid w:val="00BC12D1"/>
    <w:rsid w:val="00BC6D34"/>
    <w:rsid w:val="00C11B3E"/>
    <w:rsid w:val="00C222C2"/>
    <w:rsid w:val="00C24627"/>
    <w:rsid w:val="00C323CA"/>
    <w:rsid w:val="00C533AD"/>
    <w:rsid w:val="00C803D5"/>
    <w:rsid w:val="00C91DEA"/>
    <w:rsid w:val="00CA0DA1"/>
    <w:rsid w:val="00CB0419"/>
    <w:rsid w:val="00CC715A"/>
    <w:rsid w:val="00CE05A2"/>
    <w:rsid w:val="00CE2650"/>
    <w:rsid w:val="00CE6E18"/>
    <w:rsid w:val="00CF2D5B"/>
    <w:rsid w:val="00D041D7"/>
    <w:rsid w:val="00D0430B"/>
    <w:rsid w:val="00D052E0"/>
    <w:rsid w:val="00D055CC"/>
    <w:rsid w:val="00D11336"/>
    <w:rsid w:val="00D219D9"/>
    <w:rsid w:val="00D22D34"/>
    <w:rsid w:val="00D5711B"/>
    <w:rsid w:val="00D72132"/>
    <w:rsid w:val="00D841BD"/>
    <w:rsid w:val="00D86A3A"/>
    <w:rsid w:val="00D86EB0"/>
    <w:rsid w:val="00DA606C"/>
    <w:rsid w:val="00DB0328"/>
    <w:rsid w:val="00DD77EF"/>
    <w:rsid w:val="00DE3446"/>
    <w:rsid w:val="00DF287C"/>
    <w:rsid w:val="00E13E18"/>
    <w:rsid w:val="00E23139"/>
    <w:rsid w:val="00E3353A"/>
    <w:rsid w:val="00E5064F"/>
    <w:rsid w:val="00E506D3"/>
    <w:rsid w:val="00E8432E"/>
    <w:rsid w:val="00EA6980"/>
    <w:rsid w:val="00EC49BD"/>
    <w:rsid w:val="00EC551E"/>
    <w:rsid w:val="00ED3271"/>
    <w:rsid w:val="00ED3526"/>
    <w:rsid w:val="00F009B5"/>
    <w:rsid w:val="00F11CC8"/>
    <w:rsid w:val="00F1344B"/>
    <w:rsid w:val="00F241C5"/>
    <w:rsid w:val="00F4355E"/>
    <w:rsid w:val="00F55091"/>
    <w:rsid w:val="00F669CE"/>
    <w:rsid w:val="00F73DD7"/>
    <w:rsid w:val="00F8370F"/>
    <w:rsid w:val="00FA71DD"/>
    <w:rsid w:val="00FE429A"/>
    <w:rsid w:val="00FE5476"/>
    <w:rsid w:val="00FF6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F92F"/>
  <w15:docId w15:val="{709A3F8A-F211-4FD5-810A-BD714824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5CC"/>
    <w:pPr>
      <w:keepNext/>
      <w:keepLines/>
      <w:numPr>
        <w:numId w:val="33"/>
      </w:numPr>
      <w:spacing w:before="240" w:after="0"/>
      <w:outlineLvl w:val="0"/>
    </w:pPr>
    <w:rPr>
      <w:rFonts w:eastAsiaTheme="majorEastAsia" w:cstheme="majorBidi"/>
      <w:color w:val="2F5496"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15C"/>
    <w:pPr>
      <w:ind w:left="720"/>
      <w:contextualSpacing/>
    </w:pPr>
  </w:style>
  <w:style w:type="paragraph" w:styleId="BalloonText">
    <w:name w:val="Balloon Text"/>
    <w:basedOn w:val="Normal"/>
    <w:link w:val="BalloonTextChar"/>
    <w:uiPriority w:val="99"/>
    <w:semiHidden/>
    <w:unhideWhenUsed/>
    <w:rsid w:val="0050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361"/>
    <w:rPr>
      <w:rFonts w:ascii="Segoe UI" w:hAnsi="Segoe UI" w:cs="Segoe UI"/>
      <w:sz w:val="18"/>
      <w:szCs w:val="18"/>
    </w:rPr>
  </w:style>
  <w:style w:type="character" w:styleId="Hyperlink">
    <w:name w:val="Hyperlink"/>
    <w:basedOn w:val="DefaultParagraphFont"/>
    <w:uiPriority w:val="99"/>
    <w:unhideWhenUsed/>
    <w:rsid w:val="00182CFF"/>
    <w:rPr>
      <w:color w:val="0563C1" w:themeColor="hyperlink"/>
      <w:u w:val="single"/>
    </w:rPr>
  </w:style>
  <w:style w:type="character" w:customStyle="1" w:styleId="UnresolvedMention1">
    <w:name w:val="Unresolved Mention1"/>
    <w:basedOn w:val="DefaultParagraphFont"/>
    <w:uiPriority w:val="99"/>
    <w:semiHidden/>
    <w:unhideWhenUsed/>
    <w:rsid w:val="00182CFF"/>
    <w:rPr>
      <w:color w:val="605E5C"/>
      <w:shd w:val="clear" w:color="auto" w:fill="E1DFDD"/>
    </w:rPr>
  </w:style>
  <w:style w:type="paragraph" w:styleId="FootnoteText">
    <w:name w:val="footnote text"/>
    <w:basedOn w:val="Normal"/>
    <w:link w:val="FootnoteTextChar"/>
    <w:uiPriority w:val="99"/>
    <w:semiHidden/>
    <w:unhideWhenUsed/>
    <w:rsid w:val="003E6D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6DFC"/>
    <w:rPr>
      <w:sz w:val="20"/>
      <w:szCs w:val="20"/>
    </w:rPr>
  </w:style>
  <w:style w:type="character" w:styleId="FootnoteReference">
    <w:name w:val="footnote reference"/>
    <w:basedOn w:val="DefaultParagraphFont"/>
    <w:uiPriority w:val="99"/>
    <w:semiHidden/>
    <w:unhideWhenUsed/>
    <w:rsid w:val="003E6DFC"/>
    <w:rPr>
      <w:vertAlign w:val="superscript"/>
    </w:rPr>
  </w:style>
  <w:style w:type="paragraph" w:styleId="Header">
    <w:name w:val="header"/>
    <w:basedOn w:val="Normal"/>
    <w:link w:val="HeaderChar"/>
    <w:uiPriority w:val="99"/>
    <w:unhideWhenUsed/>
    <w:rsid w:val="00941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92D"/>
  </w:style>
  <w:style w:type="paragraph" w:styleId="Footer">
    <w:name w:val="footer"/>
    <w:basedOn w:val="Normal"/>
    <w:link w:val="FooterChar"/>
    <w:uiPriority w:val="99"/>
    <w:unhideWhenUsed/>
    <w:rsid w:val="00941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92D"/>
  </w:style>
  <w:style w:type="table" w:styleId="TableGrid">
    <w:name w:val="Table Grid"/>
    <w:basedOn w:val="TableNormal"/>
    <w:uiPriority w:val="39"/>
    <w:rsid w:val="0094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E6E18"/>
    <w:rPr>
      <w:i/>
      <w:iCs/>
    </w:rPr>
  </w:style>
  <w:style w:type="character" w:styleId="CommentReference">
    <w:name w:val="annotation reference"/>
    <w:basedOn w:val="DefaultParagraphFont"/>
    <w:uiPriority w:val="99"/>
    <w:semiHidden/>
    <w:unhideWhenUsed/>
    <w:rsid w:val="00C323CA"/>
    <w:rPr>
      <w:sz w:val="16"/>
      <w:szCs w:val="16"/>
    </w:rPr>
  </w:style>
  <w:style w:type="paragraph" w:styleId="CommentText">
    <w:name w:val="annotation text"/>
    <w:basedOn w:val="Normal"/>
    <w:link w:val="CommentTextChar"/>
    <w:uiPriority w:val="99"/>
    <w:semiHidden/>
    <w:unhideWhenUsed/>
    <w:rsid w:val="00C323CA"/>
    <w:pPr>
      <w:spacing w:line="240" w:lineRule="auto"/>
    </w:pPr>
    <w:rPr>
      <w:sz w:val="20"/>
      <w:szCs w:val="20"/>
    </w:rPr>
  </w:style>
  <w:style w:type="character" w:customStyle="1" w:styleId="CommentTextChar">
    <w:name w:val="Comment Text Char"/>
    <w:basedOn w:val="DefaultParagraphFont"/>
    <w:link w:val="CommentText"/>
    <w:uiPriority w:val="99"/>
    <w:semiHidden/>
    <w:rsid w:val="00C323CA"/>
    <w:rPr>
      <w:sz w:val="20"/>
      <w:szCs w:val="20"/>
    </w:rPr>
  </w:style>
  <w:style w:type="paragraph" w:styleId="CommentSubject">
    <w:name w:val="annotation subject"/>
    <w:basedOn w:val="CommentText"/>
    <w:next w:val="CommentText"/>
    <w:link w:val="CommentSubjectChar"/>
    <w:uiPriority w:val="99"/>
    <w:semiHidden/>
    <w:unhideWhenUsed/>
    <w:rsid w:val="00C323CA"/>
    <w:rPr>
      <w:b/>
      <w:bCs/>
    </w:rPr>
  </w:style>
  <w:style w:type="character" w:customStyle="1" w:styleId="CommentSubjectChar">
    <w:name w:val="Comment Subject Char"/>
    <w:basedOn w:val="CommentTextChar"/>
    <w:link w:val="CommentSubject"/>
    <w:uiPriority w:val="99"/>
    <w:semiHidden/>
    <w:rsid w:val="00C323CA"/>
    <w:rPr>
      <w:b/>
      <w:bCs/>
      <w:sz w:val="20"/>
      <w:szCs w:val="20"/>
    </w:rPr>
  </w:style>
  <w:style w:type="character" w:styleId="UnresolvedMention">
    <w:name w:val="Unresolved Mention"/>
    <w:basedOn w:val="DefaultParagraphFont"/>
    <w:uiPriority w:val="99"/>
    <w:semiHidden/>
    <w:unhideWhenUsed/>
    <w:rsid w:val="00054682"/>
    <w:rPr>
      <w:color w:val="605E5C"/>
      <w:shd w:val="clear" w:color="auto" w:fill="E1DFDD"/>
    </w:rPr>
  </w:style>
  <w:style w:type="character" w:customStyle="1" w:styleId="Heading1Char">
    <w:name w:val="Heading 1 Char"/>
    <w:basedOn w:val="DefaultParagraphFont"/>
    <w:link w:val="Heading1"/>
    <w:uiPriority w:val="9"/>
    <w:rsid w:val="00D055CC"/>
    <w:rPr>
      <w:rFonts w:eastAsiaTheme="majorEastAsia" w:cstheme="majorBidi"/>
      <w:color w:val="2F5496" w:themeColor="accent1" w:themeShade="BF"/>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6711">
      <w:bodyDiv w:val="1"/>
      <w:marLeft w:val="0"/>
      <w:marRight w:val="0"/>
      <w:marTop w:val="0"/>
      <w:marBottom w:val="0"/>
      <w:divBdr>
        <w:top w:val="none" w:sz="0" w:space="0" w:color="auto"/>
        <w:left w:val="none" w:sz="0" w:space="0" w:color="auto"/>
        <w:bottom w:val="none" w:sz="0" w:space="0" w:color="auto"/>
        <w:right w:val="none" w:sz="0" w:space="0" w:color="auto"/>
      </w:divBdr>
    </w:div>
    <w:div w:id="472062505">
      <w:bodyDiv w:val="1"/>
      <w:marLeft w:val="0"/>
      <w:marRight w:val="0"/>
      <w:marTop w:val="0"/>
      <w:marBottom w:val="0"/>
      <w:divBdr>
        <w:top w:val="none" w:sz="0" w:space="0" w:color="auto"/>
        <w:left w:val="none" w:sz="0" w:space="0" w:color="auto"/>
        <w:bottom w:val="none" w:sz="0" w:space="0" w:color="auto"/>
        <w:right w:val="none" w:sz="0" w:space="0" w:color="auto"/>
      </w:divBdr>
      <w:divsChild>
        <w:div w:id="813185825">
          <w:marLeft w:val="446"/>
          <w:marRight w:val="0"/>
          <w:marTop w:val="0"/>
          <w:marBottom w:val="0"/>
          <w:divBdr>
            <w:top w:val="none" w:sz="0" w:space="0" w:color="auto"/>
            <w:left w:val="none" w:sz="0" w:space="0" w:color="auto"/>
            <w:bottom w:val="none" w:sz="0" w:space="0" w:color="auto"/>
            <w:right w:val="none" w:sz="0" w:space="0" w:color="auto"/>
          </w:divBdr>
        </w:div>
        <w:div w:id="1625303547">
          <w:marLeft w:val="446"/>
          <w:marRight w:val="0"/>
          <w:marTop w:val="0"/>
          <w:marBottom w:val="0"/>
          <w:divBdr>
            <w:top w:val="none" w:sz="0" w:space="0" w:color="auto"/>
            <w:left w:val="none" w:sz="0" w:space="0" w:color="auto"/>
            <w:bottom w:val="none" w:sz="0" w:space="0" w:color="auto"/>
            <w:right w:val="none" w:sz="0" w:space="0" w:color="auto"/>
          </w:divBdr>
        </w:div>
      </w:divsChild>
    </w:div>
    <w:div w:id="568997116">
      <w:bodyDiv w:val="1"/>
      <w:marLeft w:val="0"/>
      <w:marRight w:val="0"/>
      <w:marTop w:val="0"/>
      <w:marBottom w:val="0"/>
      <w:divBdr>
        <w:top w:val="none" w:sz="0" w:space="0" w:color="auto"/>
        <w:left w:val="none" w:sz="0" w:space="0" w:color="auto"/>
        <w:bottom w:val="none" w:sz="0" w:space="0" w:color="auto"/>
        <w:right w:val="none" w:sz="0" w:space="0" w:color="auto"/>
      </w:divBdr>
      <w:divsChild>
        <w:div w:id="1689016954">
          <w:marLeft w:val="446"/>
          <w:marRight w:val="0"/>
          <w:marTop w:val="0"/>
          <w:marBottom w:val="0"/>
          <w:divBdr>
            <w:top w:val="none" w:sz="0" w:space="0" w:color="auto"/>
            <w:left w:val="none" w:sz="0" w:space="0" w:color="auto"/>
            <w:bottom w:val="none" w:sz="0" w:space="0" w:color="auto"/>
            <w:right w:val="none" w:sz="0" w:space="0" w:color="auto"/>
          </w:divBdr>
        </w:div>
      </w:divsChild>
    </w:div>
    <w:div w:id="666446318">
      <w:bodyDiv w:val="1"/>
      <w:marLeft w:val="0"/>
      <w:marRight w:val="0"/>
      <w:marTop w:val="0"/>
      <w:marBottom w:val="0"/>
      <w:divBdr>
        <w:top w:val="none" w:sz="0" w:space="0" w:color="auto"/>
        <w:left w:val="none" w:sz="0" w:space="0" w:color="auto"/>
        <w:bottom w:val="none" w:sz="0" w:space="0" w:color="auto"/>
        <w:right w:val="none" w:sz="0" w:space="0" w:color="auto"/>
      </w:divBdr>
      <w:divsChild>
        <w:div w:id="366491383">
          <w:marLeft w:val="446"/>
          <w:marRight w:val="0"/>
          <w:marTop w:val="0"/>
          <w:marBottom w:val="0"/>
          <w:divBdr>
            <w:top w:val="none" w:sz="0" w:space="0" w:color="auto"/>
            <w:left w:val="none" w:sz="0" w:space="0" w:color="auto"/>
            <w:bottom w:val="none" w:sz="0" w:space="0" w:color="auto"/>
            <w:right w:val="none" w:sz="0" w:space="0" w:color="auto"/>
          </w:divBdr>
        </w:div>
      </w:divsChild>
    </w:div>
    <w:div w:id="698167671">
      <w:bodyDiv w:val="1"/>
      <w:marLeft w:val="0"/>
      <w:marRight w:val="0"/>
      <w:marTop w:val="0"/>
      <w:marBottom w:val="0"/>
      <w:divBdr>
        <w:top w:val="none" w:sz="0" w:space="0" w:color="auto"/>
        <w:left w:val="none" w:sz="0" w:space="0" w:color="auto"/>
        <w:bottom w:val="none" w:sz="0" w:space="0" w:color="auto"/>
        <w:right w:val="none" w:sz="0" w:space="0" w:color="auto"/>
      </w:divBdr>
      <w:divsChild>
        <w:div w:id="1582330128">
          <w:marLeft w:val="446"/>
          <w:marRight w:val="0"/>
          <w:marTop w:val="0"/>
          <w:marBottom w:val="0"/>
          <w:divBdr>
            <w:top w:val="none" w:sz="0" w:space="0" w:color="auto"/>
            <w:left w:val="none" w:sz="0" w:space="0" w:color="auto"/>
            <w:bottom w:val="none" w:sz="0" w:space="0" w:color="auto"/>
            <w:right w:val="none" w:sz="0" w:space="0" w:color="auto"/>
          </w:divBdr>
        </w:div>
        <w:div w:id="2025742897">
          <w:marLeft w:val="446"/>
          <w:marRight w:val="0"/>
          <w:marTop w:val="0"/>
          <w:marBottom w:val="0"/>
          <w:divBdr>
            <w:top w:val="none" w:sz="0" w:space="0" w:color="auto"/>
            <w:left w:val="none" w:sz="0" w:space="0" w:color="auto"/>
            <w:bottom w:val="none" w:sz="0" w:space="0" w:color="auto"/>
            <w:right w:val="none" w:sz="0" w:space="0" w:color="auto"/>
          </w:divBdr>
        </w:div>
        <w:div w:id="1160076073">
          <w:marLeft w:val="446"/>
          <w:marRight w:val="0"/>
          <w:marTop w:val="0"/>
          <w:marBottom w:val="0"/>
          <w:divBdr>
            <w:top w:val="none" w:sz="0" w:space="0" w:color="auto"/>
            <w:left w:val="none" w:sz="0" w:space="0" w:color="auto"/>
            <w:bottom w:val="none" w:sz="0" w:space="0" w:color="auto"/>
            <w:right w:val="none" w:sz="0" w:space="0" w:color="auto"/>
          </w:divBdr>
        </w:div>
        <w:div w:id="1295061188">
          <w:marLeft w:val="1166"/>
          <w:marRight w:val="0"/>
          <w:marTop w:val="0"/>
          <w:marBottom w:val="0"/>
          <w:divBdr>
            <w:top w:val="none" w:sz="0" w:space="0" w:color="auto"/>
            <w:left w:val="none" w:sz="0" w:space="0" w:color="auto"/>
            <w:bottom w:val="none" w:sz="0" w:space="0" w:color="auto"/>
            <w:right w:val="none" w:sz="0" w:space="0" w:color="auto"/>
          </w:divBdr>
        </w:div>
        <w:div w:id="1602101208">
          <w:marLeft w:val="1166"/>
          <w:marRight w:val="0"/>
          <w:marTop w:val="0"/>
          <w:marBottom w:val="0"/>
          <w:divBdr>
            <w:top w:val="none" w:sz="0" w:space="0" w:color="auto"/>
            <w:left w:val="none" w:sz="0" w:space="0" w:color="auto"/>
            <w:bottom w:val="none" w:sz="0" w:space="0" w:color="auto"/>
            <w:right w:val="none" w:sz="0" w:space="0" w:color="auto"/>
          </w:divBdr>
        </w:div>
      </w:divsChild>
    </w:div>
    <w:div w:id="863202965">
      <w:bodyDiv w:val="1"/>
      <w:marLeft w:val="0"/>
      <w:marRight w:val="0"/>
      <w:marTop w:val="0"/>
      <w:marBottom w:val="0"/>
      <w:divBdr>
        <w:top w:val="none" w:sz="0" w:space="0" w:color="auto"/>
        <w:left w:val="none" w:sz="0" w:space="0" w:color="auto"/>
        <w:bottom w:val="none" w:sz="0" w:space="0" w:color="auto"/>
        <w:right w:val="none" w:sz="0" w:space="0" w:color="auto"/>
      </w:divBdr>
      <w:divsChild>
        <w:div w:id="739213051">
          <w:marLeft w:val="446"/>
          <w:marRight w:val="0"/>
          <w:marTop w:val="0"/>
          <w:marBottom w:val="0"/>
          <w:divBdr>
            <w:top w:val="none" w:sz="0" w:space="0" w:color="auto"/>
            <w:left w:val="none" w:sz="0" w:space="0" w:color="auto"/>
            <w:bottom w:val="none" w:sz="0" w:space="0" w:color="auto"/>
            <w:right w:val="none" w:sz="0" w:space="0" w:color="auto"/>
          </w:divBdr>
        </w:div>
        <w:div w:id="1347050634">
          <w:marLeft w:val="446"/>
          <w:marRight w:val="0"/>
          <w:marTop w:val="0"/>
          <w:marBottom w:val="0"/>
          <w:divBdr>
            <w:top w:val="none" w:sz="0" w:space="0" w:color="auto"/>
            <w:left w:val="none" w:sz="0" w:space="0" w:color="auto"/>
            <w:bottom w:val="none" w:sz="0" w:space="0" w:color="auto"/>
            <w:right w:val="none" w:sz="0" w:space="0" w:color="auto"/>
          </w:divBdr>
        </w:div>
      </w:divsChild>
    </w:div>
    <w:div w:id="1090472396">
      <w:bodyDiv w:val="1"/>
      <w:marLeft w:val="0"/>
      <w:marRight w:val="0"/>
      <w:marTop w:val="0"/>
      <w:marBottom w:val="0"/>
      <w:divBdr>
        <w:top w:val="none" w:sz="0" w:space="0" w:color="auto"/>
        <w:left w:val="none" w:sz="0" w:space="0" w:color="auto"/>
        <w:bottom w:val="none" w:sz="0" w:space="0" w:color="auto"/>
        <w:right w:val="none" w:sz="0" w:space="0" w:color="auto"/>
      </w:divBdr>
      <w:divsChild>
        <w:div w:id="422070575">
          <w:marLeft w:val="446"/>
          <w:marRight w:val="0"/>
          <w:marTop w:val="0"/>
          <w:marBottom w:val="0"/>
          <w:divBdr>
            <w:top w:val="none" w:sz="0" w:space="0" w:color="auto"/>
            <w:left w:val="none" w:sz="0" w:space="0" w:color="auto"/>
            <w:bottom w:val="none" w:sz="0" w:space="0" w:color="auto"/>
            <w:right w:val="none" w:sz="0" w:space="0" w:color="auto"/>
          </w:divBdr>
        </w:div>
        <w:div w:id="2081638465">
          <w:marLeft w:val="446"/>
          <w:marRight w:val="0"/>
          <w:marTop w:val="0"/>
          <w:marBottom w:val="0"/>
          <w:divBdr>
            <w:top w:val="none" w:sz="0" w:space="0" w:color="auto"/>
            <w:left w:val="none" w:sz="0" w:space="0" w:color="auto"/>
            <w:bottom w:val="none" w:sz="0" w:space="0" w:color="auto"/>
            <w:right w:val="none" w:sz="0" w:space="0" w:color="auto"/>
          </w:divBdr>
        </w:div>
        <w:div w:id="145325465">
          <w:marLeft w:val="1166"/>
          <w:marRight w:val="0"/>
          <w:marTop w:val="0"/>
          <w:marBottom w:val="0"/>
          <w:divBdr>
            <w:top w:val="none" w:sz="0" w:space="0" w:color="auto"/>
            <w:left w:val="none" w:sz="0" w:space="0" w:color="auto"/>
            <w:bottom w:val="none" w:sz="0" w:space="0" w:color="auto"/>
            <w:right w:val="none" w:sz="0" w:space="0" w:color="auto"/>
          </w:divBdr>
        </w:div>
        <w:div w:id="693968157">
          <w:marLeft w:val="446"/>
          <w:marRight w:val="0"/>
          <w:marTop w:val="0"/>
          <w:marBottom w:val="0"/>
          <w:divBdr>
            <w:top w:val="none" w:sz="0" w:space="0" w:color="auto"/>
            <w:left w:val="none" w:sz="0" w:space="0" w:color="auto"/>
            <w:bottom w:val="none" w:sz="0" w:space="0" w:color="auto"/>
            <w:right w:val="none" w:sz="0" w:space="0" w:color="auto"/>
          </w:divBdr>
        </w:div>
        <w:div w:id="723328954">
          <w:marLeft w:val="446"/>
          <w:marRight w:val="0"/>
          <w:marTop w:val="0"/>
          <w:marBottom w:val="0"/>
          <w:divBdr>
            <w:top w:val="none" w:sz="0" w:space="0" w:color="auto"/>
            <w:left w:val="none" w:sz="0" w:space="0" w:color="auto"/>
            <w:bottom w:val="none" w:sz="0" w:space="0" w:color="auto"/>
            <w:right w:val="none" w:sz="0" w:space="0" w:color="auto"/>
          </w:divBdr>
        </w:div>
      </w:divsChild>
    </w:div>
    <w:div w:id="1214927650">
      <w:bodyDiv w:val="1"/>
      <w:marLeft w:val="0"/>
      <w:marRight w:val="0"/>
      <w:marTop w:val="0"/>
      <w:marBottom w:val="0"/>
      <w:divBdr>
        <w:top w:val="none" w:sz="0" w:space="0" w:color="auto"/>
        <w:left w:val="none" w:sz="0" w:space="0" w:color="auto"/>
        <w:bottom w:val="none" w:sz="0" w:space="0" w:color="auto"/>
        <w:right w:val="none" w:sz="0" w:space="0" w:color="auto"/>
      </w:divBdr>
    </w:div>
    <w:div w:id="1539393841">
      <w:bodyDiv w:val="1"/>
      <w:marLeft w:val="0"/>
      <w:marRight w:val="0"/>
      <w:marTop w:val="0"/>
      <w:marBottom w:val="0"/>
      <w:divBdr>
        <w:top w:val="none" w:sz="0" w:space="0" w:color="auto"/>
        <w:left w:val="none" w:sz="0" w:space="0" w:color="auto"/>
        <w:bottom w:val="none" w:sz="0" w:space="0" w:color="auto"/>
        <w:right w:val="none" w:sz="0" w:space="0" w:color="auto"/>
      </w:divBdr>
      <w:divsChild>
        <w:div w:id="1720476811">
          <w:marLeft w:val="446"/>
          <w:marRight w:val="0"/>
          <w:marTop w:val="0"/>
          <w:marBottom w:val="0"/>
          <w:divBdr>
            <w:top w:val="none" w:sz="0" w:space="0" w:color="auto"/>
            <w:left w:val="none" w:sz="0" w:space="0" w:color="auto"/>
            <w:bottom w:val="none" w:sz="0" w:space="0" w:color="auto"/>
            <w:right w:val="none" w:sz="0" w:space="0" w:color="auto"/>
          </w:divBdr>
        </w:div>
      </w:divsChild>
    </w:div>
    <w:div w:id="1577978237">
      <w:bodyDiv w:val="1"/>
      <w:marLeft w:val="0"/>
      <w:marRight w:val="0"/>
      <w:marTop w:val="0"/>
      <w:marBottom w:val="0"/>
      <w:divBdr>
        <w:top w:val="none" w:sz="0" w:space="0" w:color="auto"/>
        <w:left w:val="none" w:sz="0" w:space="0" w:color="auto"/>
        <w:bottom w:val="none" w:sz="0" w:space="0" w:color="auto"/>
        <w:right w:val="none" w:sz="0" w:space="0" w:color="auto"/>
      </w:divBdr>
    </w:div>
    <w:div w:id="1992950232">
      <w:bodyDiv w:val="1"/>
      <w:marLeft w:val="0"/>
      <w:marRight w:val="0"/>
      <w:marTop w:val="0"/>
      <w:marBottom w:val="0"/>
      <w:divBdr>
        <w:top w:val="none" w:sz="0" w:space="0" w:color="auto"/>
        <w:left w:val="none" w:sz="0" w:space="0" w:color="auto"/>
        <w:bottom w:val="none" w:sz="0" w:space="0" w:color="auto"/>
        <w:right w:val="none" w:sz="0" w:space="0" w:color="auto"/>
      </w:divBdr>
      <w:divsChild>
        <w:div w:id="537789280">
          <w:marLeft w:val="446"/>
          <w:marRight w:val="0"/>
          <w:marTop w:val="0"/>
          <w:marBottom w:val="0"/>
          <w:divBdr>
            <w:top w:val="none" w:sz="0" w:space="0" w:color="auto"/>
            <w:left w:val="none" w:sz="0" w:space="0" w:color="auto"/>
            <w:bottom w:val="none" w:sz="0" w:space="0" w:color="auto"/>
            <w:right w:val="none" w:sz="0" w:space="0" w:color="auto"/>
          </w:divBdr>
        </w:div>
      </w:divsChild>
    </w:div>
    <w:div w:id="2003699604">
      <w:bodyDiv w:val="1"/>
      <w:marLeft w:val="0"/>
      <w:marRight w:val="0"/>
      <w:marTop w:val="0"/>
      <w:marBottom w:val="0"/>
      <w:divBdr>
        <w:top w:val="none" w:sz="0" w:space="0" w:color="auto"/>
        <w:left w:val="none" w:sz="0" w:space="0" w:color="auto"/>
        <w:bottom w:val="none" w:sz="0" w:space="0" w:color="auto"/>
        <w:right w:val="none" w:sz="0" w:space="0" w:color="auto"/>
      </w:divBdr>
      <w:divsChild>
        <w:div w:id="66632797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org.uk/wp-content/uploads/Architects-Survey-Analysis-Paper.pdf"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arb.org.uk/competence-review/"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E7408-21E0-4992-AB8B-A09BB605E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3829</Words>
  <Characters>21829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Architects Registration Board</Company>
  <LinksUpToDate>false</LinksUpToDate>
  <CharactersWithSpaces>25607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Roberts-Hughes</dc:creator>
  <cp:keywords/>
  <dc:description/>
  <cp:lastModifiedBy>Rebecca Roberts-Hughes</cp:lastModifiedBy>
  <cp:revision>5</cp:revision>
  <dcterms:created xsi:type="dcterms:W3CDTF">2021-07-13T16:03:00Z</dcterms:created>
  <dcterms:modified xsi:type="dcterms:W3CDTF">2021-07-13T16:14:00Z</dcterms:modified>
</cp:coreProperties>
</file>