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AB63F" w14:textId="77777777" w:rsidR="001B3CC2" w:rsidRDefault="001B3CC2"/>
    <w:p w14:paraId="0BEE8AD2" w14:textId="77777777" w:rsidR="001B3CC2" w:rsidRDefault="001B3CC2"/>
    <w:tbl>
      <w:tblPr>
        <w:tblW w:w="0" w:type="auto"/>
        <w:tblLook w:val="01E0" w:firstRow="1" w:lastRow="1" w:firstColumn="1" w:lastColumn="1" w:noHBand="0" w:noVBand="0"/>
      </w:tblPr>
      <w:tblGrid>
        <w:gridCol w:w="5638"/>
        <w:gridCol w:w="1817"/>
        <w:gridCol w:w="2183"/>
      </w:tblGrid>
      <w:tr w:rsidR="00C96274" w:rsidRPr="000273C9" w14:paraId="0174F0EE" w14:textId="77777777" w:rsidTr="00FD730F">
        <w:tc>
          <w:tcPr>
            <w:tcW w:w="5778" w:type="dxa"/>
            <w:vMerge w:val="restart"/>
            <w:shd w:val="clear" w:color="auto" w:fill="auto"/>
          </w:tcPr>
          <w:p w14:paraId="22E19A79" w14:textId="77777777" w:rsidR="00C96274" w:rsidRPr="000273C9" w:rsidRDefault="00C96274">
            <w:pPr>
              <w:rPr>
                <w:rFonts w:ascii="Helvetica 65 Medium" w:hAnsi="Helvetica 65 Medium"/>
                <w:sz w:val="24"/>
                <w:szCs w:val="24"/>
              </w:rPr>
            </w:pPr>
            <w:bookmarkStart w:id="0" w:name="_top"/>
            <w:bookmarkEnd w:id="0"/>
          </w:p>
          <w:p w14:paraId="43EFE33B" w14:textId="0872681F" w:rsidR="00C96274" w:rsidRPr="000273C9" w:rsidRDefault="00B25977">
            <w:pPr>
              <w:rPr>
                <w:rFonts w:ascii="Helvetica 65 Medium" w:hAnsi="Helvetica 65 Medium"/>
                <w:sz w:val="24"/>
                <w:szCs w:val="24"/>
              </w:rPr>
            </w:pPr>
            <w:r>
              <w:rPr>
                <w:rFonts w:ascii="Helvetica 65 Medium" w:hAnsi="Helvetica 65 Medium"/>
                <w:noProof/>
                <w:sz w:val="24"/>
                <w:szCs w:val="24"/>
                <w:lang w:eastAsia="en-GB"/>
              </w:rPr>
              <w:drawing>
                <wp:inline distT="0" distB="0" distL="0" distR="0" wp14:anchorId="3CDDB4D0" wp14:editId="168F09A9">
                  <wp:extent cx="8096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419100"/>
                          </a:xfrm>
                          <a:prstGeom prst="rect">
                            <a:avLst/>
                          </a:prstGeom>
                          <a:noFill/>
                          <a:ln>
                            <a:noFill/>
                          </a:ln>
                        </pic:spPr>
                      </pic:pic>
                    </a:graphicData>
                  </a:graphic>
                </wp:inline>
              </w:drawing>
            </w:r>
          </w:p>
          <w:p w14:paraId="64ED2F04" w14:textId="77777777" w:rsidR="00C96274" w:rsidRPr="000273C9" w:rsidRDefault="00C96274">
            <w:pPr>
              <w:rPr>
                <w:rFonts w:ascii="Helvetica 65 Medium" w:hAnsi="Helvetica 65 Medium"/>
                <w:sz w:val="24"/>
                <w:szCs w:val="24"/>
              </w:rPr>
            </w:pPr>
          </w:p>
        </w:tc>
        <w:tc>
          <w:tcPr>
            <w:tcW w:w="1843" w:type="dxa"/>
            <w:shd w:val="clear" w:color="auto" w:fill="auto"/>
          </w:tcPr>
          <w:p w14:paraId="7A318B75" w14:textId="77777777" w:rsidR="00C96274" w:rsidRPr="00F33A7F" w:rsidRDefault="00C96274" w:rsidP="00EE2FED">
            <w:pPr>
              <w:rPr>
                <w:rFonts w:ascii="Calibri" w:hAnsi="Calibri" w:cs="Calibri"/>
                <w:b/>
                <w:sz w:val="24"/>
                <w:szCs w:val="24"/>
              </w:rPr>
            </w:pPr>
          </w:p>
          <w:p w14:paraId="59C013FE" w14:textId="77777777" w:rsidR="00C96274" w:rsidRPr="00F33A7F" w:rsidRDefault="00536375" w:rsidP="00536375">
            <w:pPr>
              <w:rPr>
                <w:rFonts w:ascii="Calibri" w:hAnsi="Calibri" w:cs="Calibri"/>
                <w:b/>
                <w:sz w:val="24"/>
                <w:szCs w:val="24"/>
              </w:rPr>
            </w:pPr>
            <w:r>
              <w:rPr>
                <w:rFonts w:ascii="Calibri" w:hAnsi="Calibri" w:cs="Calibri"/>
                <w:b/>
                <w:sz w:val="24"/>
                <w:szCs w:val="24"/>
              </w:rPr>
              <w:t xml:space="preserve">Board </w:t>
            </w:r>
            <w:r w:rsidR="00C96274">
              <w:rPr>
                <w:rFonts w:ascii="Calibri" w:hAnsi="Calibri" w:cs="Calibri"/>
                <w:b/>
                <w:sz w:val="24"/>
                <w:szCs w:val="24"/>
              </w:rPr>
              <w:t>M</w:t>
            </w:r>
            <w:r w:rsidR="00C96274" w:rsidRPr="00F33A7F">
              <w:rPr>
                <w:rFonts w:ascii="Calibri" w:hAnsi="Calibri" w:cs="Calibri"/>
                <w:b/>
                <w:sz w:val="24"/>
                <w:szCs w:val="24"/>
              </w:rPr>
              <w:t>eeting</w:t>
            </w:r>
          </w:p>
        </w:tc>
        <w:tc>
          <w:tcPr>
            <w:tcW w:w="2233" w:type="dxa"/>
            <w:shd w:val="clear" w:color="auto" w:fill="auto"/>
            <w:vAlign w:val="bottom"/>
          </w:tcPr>
          <w:p w14:paraId="38CBE74B" w14:textId="70CDC8DF" w:rsidR="00C96274" w:rsidRPr="00F33A7F" w:rsidRDefault="0098067A" w:rsidP="003C1909">
            <w:pPr>
              <w:rPr>
                <w:rFonts w:ascii="Calibri" w:hAnsi="Calibri" w:cs="Calibri"/>
                <w:b/>
                <w:sz w:val="24"/>
                <w:szCs w:val="24"/>
              </w:rPr>
            </w:pPr>
            <w:r>
              <w:rPr>
                <w:rFonts w:ascii="Calibri" w:hAnsi="Calibri" w:cs="Calibri"/>
                <w:b/>
                <w:sz w:val="24"/>
                <w:szCs w:val="24"/>
              </w:rPr>
              <w:t>21 July</w:t>
            </w:r>
            <w:r w:rsidR="00807AD0">
              <w:rPr>
                <w:rFonts w:ascii="Calibri" w:hAnsi="Calibri" w:cs="Calibri"/>
                <w:b/>
                <w:sz w:val="24"/>
                <w:szCs w:val="24"/>
              </w:rPr>
              <w:t xml:space="preserve"> </w:t>
            </w:r>
            <w:r w:rsidR="007A1E04">
              <w:rPr>
                <w:rFonts w:ascii="Calibri" w:hAnsi="Calibri" w:cs="Calibri"/>
                <w:b/>
                <w:sz w:val="24"/>
                <w:szCs w:val="24"/>
              </w:rPr>
              <w:t>202</w:t>
            </w:r>
            <w:r w:rsidR="00520A41">
              <w:rPr>
                <w:rFonts w:ascii="Calibri" w:hAnsi="Calibri" w:cs="Calibri"/>
                <w:b/>
                <w:sz w:val="24"/>
                <w:szCs w:val="24"/>
              </w:rPr>
              <w:t>1</w:t>
            </w:r>
          </w:p>
        </w:tc>
      </w:tr>
      <w:tr w:rsidR="00C96274" w:rsidRPr="000273C9" w14:paraId="564BE13E" w14:textId="77777777" w:rsidTr="00FD730F">
        <w:tc>
          <w:tcPr>
            <w:tcW w:w="5778" w:type="dxa"/>
            <w:vMerge/>
            <w:shd w:val="clear" w:color="auto" w:fill="auto"/>
          </w:tcPr>
          <w:p w14:paraId="7E4B9547" w14:textId="77777777" w:rsidR="00C96274" w:rsidRPr="000273C9" w:rsidRDefault="00C96274">
            <w:pPr>
              <w:rPr>
                <w:rFonts w:ascii="Helvetica 65 Medium" w:hAnsi="Helvetica 65 Medium"/>
                <w:sz w:val="24"/>
                <w:szCs w:val="24"/>
              </w:rPr>
            </w:pPr>
          </w:p>
        </w:tc>
        <w:tc>
          <w:tcPr>
            <w:tcW w:w="1843" w:type="dxa"/>
            <w:shd w:val="clear" w:color="auto" w:fill="auto"/>
          </w:tcPr>
          <w:p w14:paraId="34AAB530" w14:textId="77777777" w:rsidR="00C96274" w:rsidRPr="00F33A7F" w:rsidRDefault="00C96274" w:rsidP="00EE2FED">
            <w:pPr>
              <w:spacing w:before="40"/>
              <w:rPr>
                <w:rFonts w:ascii="Calibri" w:hAnsi="Calibri" w:cs="Calibri"/>
                <w:b/>
                <w:sz w:val="24"/>
                <w:szCs w:val="24"/>
              </w:rPr>
            </w:pPr>
            <w:r>
              <w:rPr>
                <w:rFonts w:ascii="Calibri" w:hAnsi="Calibri" w:cs="Calibri"/>
                <w:b/>
                <w:sz w:val="24"/>
                <w:szCs w:val="24"/>
              </w:rPr>
              <w:t>Agenda I</w:t>
            </w:r>
            <w:r w:rsidRPr="00F33A7F">
              <w:rPr>
                <w:rFonts w:ascii="Calibri" w:hAnsi="Calibri" w:cs="Calibri"/>
                <w:b/>
                <w:sz w:val="24"/>
                <w:szCs w:val="24"/>
              </w:rPr>
              <w:t>tem</w:t>
            </w:r>
          </w:p>
        </w:tc>
        <w:tc>
          <w:tcPr>
            <w:tcW w:w="2233" w:type="dxa"/>
            <w:shd w:val="clear" w:color="auto" w:fill="auto"/>
          </w:tcPr>
          <w:p w14:paraId="13F5C323" w14:textId="287CBF07" w:rsidR="00C96274" w:rsidRPr="00F33A7F" w:rsidRDefault="006326CB" w:rsidP="00FD730F">
            <w:pPr>
              <w:spacing w:before="40"/>
              <w:rPr>
                <w:rFonts w:ascii="Calibri" w:hAnsi="Calibri" w:cs="Calibri"/>
                <w:b/>
                <w:sz w:val="24"/>
                <w:szCs w:val="24"/>
              </w:rPr>
            </w:pPr>
            <w:r>
              <w:rPr>
                <w:rFonts w:ascii="Calibri" w:hAnsi="Calibri" w:cs="Calibri"/>
                <w:b/>
                <w:sz w:val="24"/>
                <w:szCs w:val="24"/>
              </w:rPr>
              <w:t>9</w:t>
            </w:r>
          </w:p>
        </w:tc>
      </w:tr>
    </w:tbl>
    <w:p w14:paraId="380CE4F6" w14:textId="77777777" w:rsidR="00833E88" w:rsidRPr="0001471C" w:rsidRDefault="00833E88">
      <w:pPr>
        <w:rPr>
          <w:rFonts w:ascii="Helvetica 65 Medium" w:hAnsi="Helvetica 65 Medium"/>
          <w:sz w:val="24"/>
          <w:szCs w:val="24"/>
        </w:rPr>
      </w:pPr>
    </w:p>
    <w:tbl>
      <w:tblPr>
        <w:tblW w:w="0" w:type="auto"/>
        <w:tblLook w:val="01E0" w:firstRow="1" w:lastRow="1" w:firstColumn="1" w:lastColumn="1" w:noHBand="0" w:noVBand="0"/>
      </w:tblPr>
      <w:tblGrid>
        <w:gridCol w:w="2842"/>
        <w:gridCol w:w="6796"/>
      </w:tblGrid>
      <w:tr w:rsidR="002818DB" w:rsidRPr="000273C9" w14:paraId="38745426" w14:textId="77777777" w:rsidTr="000273C9">
        <w:tc>
          <w:tcPr>
            <w:tcW w:w="2895" w:type="dxa"/>
            <w:shd w:val="clear" w:color="auto" w:fill="auto"/>
          </w:tcPr>
          <w:p w14:paraId="61B8783F" w14:textId="77777777" w:rsidR="002818DB" w:rsidRPr="000273C9" w:rsidRDefault="002818DB" w:rsidP="00161481">
            <w:pPr>
              <w:spacing w:before="40" w:after="40"/>
              <w:rPr>
                <w:rFonts w:ascii="Calibri" w:hAnsi="Calibri" w:cs="Calibri"/>
                <w:b/>
                <w:sz w:val="24"/>
                <w:szCs w:val="24"/>
              </w:rPr>
            </w:pPr>
            <w:r w:rsidRPr="000273C9">
              <w:rPr>
                <w:rFonts w:ascii="Calibri" w:hAnsi="Calibri" w:cs="Calibri"/>
                <w:b/>
                <w:sz w:val="24"/>
                <w:szCs w:val="24"/>
              </w:rPr>
              <w:t>Subject</w:t>
            </w:r>
          </w:p>
        </w:tc>
        <w:tc>
          <w:tcPr>
            <w:tcW w:w="6959" w:type="dxa"/>
            <w:shd w:val="clear" w:color="auto" w:fill="auto"/>
          </w:tcPr>
          <w:p w14:paraId="7CEA02A4" w14:textId="1B861BFF" w:rsidR="002818DB" w:rsidRPr="000273C9" w:rsidRDefault="00557988" w:rsidP="007A1E04">
            <w:pPr>
              <w:spacing w:before="40" w:after="40"/>
              <w:rPr>
                <w:rFonts w:ascii="Calibri" w:hAnsi="Calibri" w:cs="Calibri"/>
                <w:b/>
                <w:sz w:val="24"/>
                <w:szCs w:val="24"/>
              </w:rPr>
            </w:pPr>
            <w:r w:rsidRPr="002A28D3">
              <w:rPr>
                <w:rFonts w:ascii="Calibri" w:hAnsi="Calibri" w:cs="Calibri"/>
                <w:b/>
                <w:sz w:val="24"/>
                <w:szCs w:val="24"/>
              </w:rPr>
              <w:t xml:space="preserve">Update </w:t>
            </w:r>
            <w:r w:rsidR="007A1E04">
              <w:rPr>
                <w:rFonts w:ascii="Calibri" w:hAnsi="Calibri" w:cs="Calibri"/>
                <w:b/>
                <w:sz w:val="24"/>
                <w:szCs w:val="24"/>
              </w:rPr>
              <w:t xml:space="preserve">from the Chief Executive </w:t>
            </w:r>
          </w:p>
        </w:tc>
      </w:tr>
      <w:tr w:rsidR="002818DB" w:rsidRPr="000273C9" w14:paraId="6165A1BD" w14:textId="77777777" w:rsidTr="000273C9">
        <w:tc>
          <w:tcPr>
            <w:tcW w:w="2895" w:type="dxa"/>
            <w:shd w:val="clear" w:color="auto" w:fill="auto"/>
          </w:tcPr>
          <w:p w14:paraId="61CD1855" w14:textId="77777777" w:rsidR="002818DB" w:rsidRPr="000273C9" w:rsidRDefault="002818DB" w:rsidP="00161481">
            <w:pPr>
              <w:spacing w:before="40" w:after="40"/>
              <w:rPr>
                <w:rFonts w:ascii="Calibri" w:hAnsi="Calibri" w:cs="Calibri"/>
                <w:b/>
                <w:sz w:val="24"/>
                <w:szCs w:val="24"/>
              </w:rPr>
            </w:pPr>
            <w:r w:rsidRPr="000273C9">
              <w:rPr>
                <w:rFonts w:ascii="Calibri" w:hAnsi="Calibri" w:cs="Calibri"/>
                <w:b/>
                <w:sz w:val="24"/>
                <w:szCs w:val="24"/>
              </w:rPr>
              <w:t>Purpose</w:t>
            </w:r>
          </w:p>
        </w:tc>
        <w:tc>
          <w:tcPr>
            <w:tcW w:w="6959" w:type="dxa"/>
            <w:shd w:val="clear" w:color="auto" w:fill="auto"/>
          </w:tcPr>
          <w:p w14:paraId="142B6F9D" w14:textId="77777777" w:rsidR="002818DB" w:rsidRPr="000273C9" w:rsidRDefault="004E0B16" w:rsidP="00557988">
            <w:pPr>
              <w:spacing w:before="40" w:after="40"/>
              <w:rPr>
                <w:rFonts w:ascii="Calibri" w:hAnsi="Calibri" w:cs="Calibri"/>
                <w:b/>
                <w:sz w:val="24"/>
                <w:szCs w:val="24"/>
              </w:rPr>
            </w:pPr>
            <w:r w:rsidRPr="000273C9">
              <w:rPr>
                <w:rFonts w:ascii="Calibri" w:hAnsi="Calibri" w:cs="Calibri"/>
                <w:b/>
                <w:sz w:val="24"/>
                <w:szCs w:val="24"/>
              </w:rPr>
              <w:t xml:space="preserve">For </w:t>
            </w:r>
            <w:r w:rsidR="00C96274">
              <w:rPr>
                <w:rFonts w:ascii="Calibri" w:hAnsi="Calibri" w:cs="Calibri"/>
                <w:b/>
                <w:sz w:val="24"/>
                <w:szCs w:val="24"/>
              </w:rPr>
              <w:t>Note</w:t>
            </w:r>
          </w:p>
        </w:tc>
      </w:tr>
      <w:tr w:rsidR="002818DB" w:rsidRPr="000273C9" w14:paraId="37AFB147" w14:textId="77777777" w:rsidTr="000273C9">
        <w:tc>
          <w:tcPr>
            <w:tcW w:w="2895" w:type="dxa"/>
            <w:shd w:val="clear" w:color="auto" w:fill="auto"/>
          </w:tcPr>
          <w:p w14:paraId="12FAC959" w14:textId="77777777" w:rsidR="002818DB" w:rsidRPr="000273C9" w:rsidRDefault="002818DB" w:rsidP="00161481">
            <w:pPr>
              <w:spacing w:before="40" w:after="40"/>
              <w:rPr>
                <w:rFonts w:ascii="Calibri" w:hAnsi="Calibri" w:cs="Calibri"/>
                <w:b/>
                <w:sz w:val="24"/>
                <w:szCs w:val="24"/>
              </w:rPr>
            </w:pPr>
            <w:r w:rsidRPr="000273C9">
              <w:rPr>
                <w:rFonts w:ascii="Calibri" w:hAnsi="Calibri" w:cs="Calibri"/>
                <w:b/>
                <w:sz w:val="24"/>
                <w:szCs w:val="24"/>
              </w:rPr>
              <w:t>From</w:t>
            </w:r>
          </w:p>
        </w:tc>
        <w:tc>
          <w:tcPr>
            <w:tcW w:w="6959" w:type="dxa"/>
            <w:shd w:val="clear" w:color="auto" w:fill="auto"/>
          </w:tcPr>
          <w:p w14:paraId="5FC15C7C" w14:textId="77777777" w:rsidR="006444AA" w:rsidRDefault="004F6FE8" w:rsidP="00161481">
            <w:pPr>
              <w:spacing w:before="40" w:after="40"/>
              <w:rPr>
                <w:rFonts w:ascii="Calibri" w:hAnsi="Calibri" w:cs="Calibri"/>
                <w:b/>
                <w:sz w:val="24"/>
                <w:szCs w:val="24"/>
              </w:rPr>
            </w:pPr>
            <w:r>
              <w:rPr>
                <w:rFonts w:ascii="Calibri" w:hAnsi="Calibri" w:cs="Calibri"/>
                <w:b/>
                <w:sz w:val="24"/>
                <w:szCs w:val="24"/>
              </w:rPr>
              <w:t>Chief Executive</w:t>
            </w:r>
          </w:p>
          <w:p w14:paraId="552CEDE8" w14:textId="58FFFC5C" w:rsidR="00D3441D" w:rsidRPr="000273C9" w:rsidRDefault="00D3441D" w:rsidP="00161481">
            <w:pPr>
              <w:spacing w:before="40" w:after="40"/>
              <w:rPr>
                <w:rFonts w:ascii="Calibri" w:hAnsi="Calibri" w:cs="Calibri"/>
                <w:b/>
                <w:sz w:val="24"/>
                <w:szCs w:val="24"/>
              </w:rPr>
            </w:pPr>
          </w:p>
        </w:tc>
      </w:tr>
    </w:tbl>
    <w:p w14:paraId="6A30BC05" w14:textId="77777777" w:rsidR="000273C9" w:rsidRPr="000273C9" w:rsidRDefault="000273C9" w:rsidP="00161481">
      <w:pPr>
        <w:spacing w:before="40" w:after="40"/>
        <w:rPr>
          <w:vanish/>
        </w:rPr>
      </w:pPr>
    </w:p>
    <w:tbl>
      <w:tblPr>
        <w:tblW w:w="9889" w:type="dxa"/>
        <w:tblBorders>
          <w:bottom w:val="single" w:sz="4" w:space="0" w:color="auto"/>
        </w:tblBorders>
        <w:tblLook w:val="01E0" w:firstRow="1" w:lastRow="1" w:firstColumn="1" w:lastColumn="1" w:noHBand="0" w:noVBand="0"/>
      </w:tblPr>
      <w:tblGrid>
        <w:gridCol w:w="9889"/>
      </w:tblGrid>
      <w:tr w:rsidR="00306131" w:rsidRPr="006B2353" w14:paraId="14F89765" w14:textId="77777777" w:rsidTr="00306131">
        <w:trPr>
          <w:trHeight w:val="547"/>
        </w:trPr>
        <w:tc>
          <w:tcPr>
            <w:tcW w:w="9889" w:type="dxa"/>
          </w:tcPr>
          <w:p w14:paraId="6AA9F3BD" w14:textId="5254F2DF" w:rsidR="00306131" w:rsidRPr="00F4103E" w:rsidRDefault="00C96274" w:rsidP="007A1E04">
            <w:pPr>
              <w:spacing w:before="40" w:after="40"/>
              <w:rPr>
                <w:rFonts w:ascii="Calibri" w:hAnsi="Calibri" w:cs="Calibri"/>
                <w:b/>
                <w:color w:val="4F81BD"/>
                <w:sz w:val="24"/>
                <w:szCs w:val="24"/>
              </w:rPr>
            </w:pPr>
            <w:r w:rsidRPr="00F63BDD">
              <w:rPr>
                <w:rFonts w:ascii="Calibri" w:hAnsi="Calibri" w:cs="Calibri"/>
                <w:b/>
                <w:color w:val="4F81BD"/>
                <w:sz w:val="24"/>
                <w:szCs w:val="24"/>
              </w:rPr>
              <w:t xml:space="preserve">If you have any enquiries on this paper, please contact </w:t>
            </w:r>
            <w:r w:rsidR="00520A41">
              <w:rPr>
                <w:rFonts w:ascii="Calibri" w:hAnsi="Calibri" w:cs="Calibri"/>
                <w:b/>
                <w:color w:val="4F81BD"/>
                <w:sz w:val="24"/>
                <w:szCs w:val="24"/>
              </w:rPr>
              <w:t>Hugh Simpson</w:t>
            </w:r>
            <w:r w:rsidRPr="00F63BDD">
              <w:rPr>
                <w:rFonts w:ascii="Calibri" w:hAnsi="Calibri" w:cs="Calibri"/>
                <w:b/>
                <w:color w:val="4F81BD"/>
                <w:sz w:val="24"/>
                <w:szCs w:val="24"/>
              </w:rPr>
              <w:t xml:space="preserve"> </w:t>
            </w:r>
            <w:r>
              <w:rPr>
                <w:rFonts w:ascii="Calibri" w:hAnsi="Calibri" w:cs="Calibri"/>
                <w:b/>
                <w:color w:val="4F81BD"/>
                <w:sz w:val="24"/>
                <w:szCs w:val="24"/>
              </w:rPr>
              <w:t xml:space="preserve">at </w:t>
            </w:r>
            <w:hyperlink r:id="rId9" w:history="1">
              <w:r w:rsidR="00520A41" w:rsidRPr="00520A41">
                <w:rPr>
                  <w:rStyle w:val="Hyperlink"/>
                  <w:rFonts w:ascii="Calibri" w:hAnsi="Calibri" w:cs="Calibri"/>
                  <w:b/>
                  <w:sz w:val="24"/>
                  <w:szCs w:val="24"/>
                </w:rPr>
                <w:t>H</w:t>
              </w:r>
              <w:r w:rsidR="00520A41" w:rsidRPr="00225D9F">
                <w:rPr>
                  <w:rStyle w:val="Hyperlink"/>
                  <w:rFonts w:ascii="Calibri" w:hAnsi="Calibri" w:cs="Calibri"/>
                  <w:b/>
                  <w:sz w:val="24"/>
                  <w:szCs w:val="24"/>
                </w:rPr>
                <w:t>ughS@arb.org.uk</w:t>
              </w:r>
            </w:hyperlink>
            <w:r w:rsidR="007A1E04">
              <w:rPr>
                <w:rFonts w:ascii="Calibri" w:hAnsi="Calibri" w:cs="Calibri"/>
                <w:b/>
                <w:color w:val="4F81BD"/>
                <w:sz w:val="24"/>
                <w:szCs w:val="24"/>
              </w:rPr>
              <w:t xml:space="preserve"> </w:t>
            </w:r>
            <w:r w:rsidRPr="00F63BDD">
              <w:rPr>
                <w:rFonts w:ascii="Calibri" w:hAnsi="Calibri" w:cs="Calibri"/>
                <w:b/>
                <w:color w:val="4F81BD"/>
                <w:sz w:val="24"/>
                <w:szCs w:val="24"/>
              </w:rPr>
              <w:t xml:space="preserve">on </w:t>
            </w:r>
            <w:hyperlink r:id="rId10" w:history="1">
              <w:r w:rsidR="00520A41" w:rsidRPr="00520A41">
                <w:rPr>
                  <w:rFonts w:ascii="Calibri" w:hAnsi="Calibri" w:cs="Calibri"/>
                  <w:b/>
                  <w:color w:val="4F81BD"/>
                  <w:sz w:val="24"/>
                  <w:szCs w:val="24"/>
                </w:rPr>
                <w:t>020 7580 5861</w:t>
              </w:r>
            </w:hyperlink>
          </w:p>
        </w:tc>
      </w:tr>
    </w:tbl>
    <w:p w14:paraId="1FD4A93A" w14:textId="77777777" w:rsidR="005D356A" w:rsidRPr="0001471C" w:rsidRDefault="005D356A" w:rsidP="00161481">
      <w:pPr>
        <w:spacing w:before="40" w:after="40"/>
        <w:ind w:left="567" w:hanging="567"/>
        <w:rPr>
          <w:rFonts w:ascii="Helvetica 65 Medium" w:hAnsi="Helvetica 65 Medium"/>
          <w:sz w:val="24"/>
          <w:szCs w:val="24"/>
        </w:rPr>
      </w:pPr>
    </w:p>
    <w:tbl>
      <w:tblPr>
        <w:tblW w:w="9889" w:type="dxa"/>
        <w:tblLayout w:type="fixed"/>
        <w:tblLook w:val="01E0" w:firstRow="1" w:lastRow="1" w:firstColumn="1" w:lastColumn="1" w:noHBand="0" w:noVBand="0"/>
      </w:tblPr>
      <w:tblGrid>
        <w:gridCol w:w="534"/>
        <w:gridCol w:w="850"/>
        <w:gridCol w:w="8470"/>
        <w:gridCol w:w="35"/>
      </w:tblGrid>
      <w:tr w:rsidR="00F353A7" w:rsidRPr="000273C9" w14:paraId="4C9613F2" w14:textId="77777777" w:rsidTr="00831A07">
        <w:tc>
          <w:tcPr>
            <w:tcW w:w="534" w:type="dxa"/>
            <w:vMerge w:val="restart"/>
            <w:shd w:val="clear" w:color="auto" w:fill="auto"/>
          </w:tcPr>
          <w:p w14:paraId="3C6CDE01" w14:textId="77777777" w:rsidR="00F353A7" w:rsidRPr="004F6FE8" w:rsidRDefault="00F353A7" w:rsidP="00161481">
            <w:pPr>
              <w:spacing w:before="40" w:after="40" w:line="240" w:lineRule="atLeast"/>
              <w:rPr>
                <w:rFonts w:ascii="Calibri" w:hAnsi="Calibri" w:cs="Calibri"/>
                <w:b/>
                <w:color w:val="4F81BD"/>
                <w:sz w:val="24"/>
                <w:szCs w:val="24"/>
              </w:rPr>
            </w:pPr>
            <w:r w:rsidRPr="004F6FE8">
              <w:rPr>
                <w:rFonts w:ascii="Calibri" w:hAnsi="Calibri" w:cs="Calibri"/>
                <w:b/>
                <w:color w:val="4F81BD"/>
                <w:sz w:val="24"/>
                <w:szCs w:val="24"/>
              </w:rPr>
              <w:t xml:space="preserve">1. </w:t>
            </w:r>
          </w:p>
        </w:tc>
        <w:tc>
          <w:tcPr>
            <w:tcW w:w="9355" w:type="dxa"/>
            <w:gridSpan w:val="3"/>
            <w:shd w:val="clear" w:color="auto" w:fill="auto"/>
          </w:tcPr>
          <w:p w14:paraId="378D8E3A" w14:textId="77777777" w:rsidR="00F353A7" w:rsidRPr="00F4103E" w:rsidRDefault="00C96274" w:rsidP="00161481">
            <w:pPr>
              <w:spacing w:before="40" w:after="40" w:line="240" w:lineRule="atLeast"/>
              <w:rPr>
                <w:rFonts w:ascii="Calibri" w:hAnsi="Calibri" w:cs="Calibri"/>
                <w:b/>
                <w:color w:val="4F81BD"/>
                <w:sz w:val="24"/>
                <w:szCs w:val="24"/>
              </w:rPr>
            </w:pPr>
            <w:r>
              <w:rPr>
                <w:rFonts w:ascii="Calibri" w:hAnsi="Calibri" w:cs="Calibri"/>
                <w:b/>
                <w:color w:val="4F81BD"/>
                <w:sz w:val="24"/>
                <w:szCs w:val="24"/>
              </w:rPr>
              <w:t>Summary</w:t>
            </w:r>
          </w:p>
        </w:tc>
      </w:tr>
      <w:tr w:rsidR="00F353A7" w:rsidRPr="000273C9" w14:paraId="704AB512" w14:textId="77777777" w:rsidTr="00831A07">
        <w:tc>
          <w:tcPr>
            <w:tcW w:w="534" w:type="dxa"/>
            <w:vMerge/>
            <w:shd w:val="clear" w:color="auto" w:fill="auto"/>
          </w:tcPr>
          <w:p w14:paraId="348812B1" w14:textId="77777777" w:rsidR="00F353A7" w:rsidRPr="004F6FE8" w:rsidRDefault="00F353A7" w:rsidP="00161481">
            <w:pPr>
              <w:spacing w:before="40" w:after="40" w:line="240" w:lineRule="atLeast"/>
              <w:rPr>
                <w:rFonts w:ascii="Helvetica 65 Medium" w:hAnsi="Helvetica 65 Medium"/>
                <w:sz w:val="24"/>
                <w:szCs w:val="24"/>
              </w:rPr>
            </w:pPr>
          </w:p>
        </w:tc>
        <w:tc>
          <w:tcPr>
            <w:tcW w:w="9355" w:type="dxa"/>
            <w:gridSpan w:val="3"/>
            <w:shd w:val="clear" w:color="auto" w:fill="auto"/>
          </w:tcPr>
          <w:p w14:paraId="6341D9BB" w14:textId="6C7CDEC6" w:rsidR="00F353A7" w:rsidRPr="000273C9" w:rsidRDefault="00557988" w:rsidP="007A1E04">
            <w:pPr>
              <w:spacing w:before="40" w:after="40" w:line="240" w:lineRule="atLeast"/>
              <w:jc w:val="both"/>
              <w:rPr>
                <w:rFonts w:ascii="Calibri" w:hAnsi="Calibri" w:cs="Calibri"/>
                <w:sz w:val="24"/>
                <w:szCs w:val="24"/>
              </w:rPr>
            </w:pPr>
            <w:r w:rsidRPr="00F203F4">
              <w:rPr>
                <w:rFonts w:ascii="Calibri" w:hAnsi="Calibri" w:cs="Calibri"/>
                <w:sz w:val="24"/>
                <w:szCs w:val="24"/>
              </w:rPr>
              <w:t xml:space="preserve">To </w:t>
            </w:r>
            <w:r w:rsidR="007A1E04">
              <w:rPr>
                <w:rFonts w:ascii="Calibri" w:hAnsi="Calibri" w:cs="Calibri"/>
                <w:sz w:val="24"/>
                <w:szCs w:val="24"/>
              </w:rPr>
              <w:t xml:space="preserve">provide an update from the Chief Executive on the operational activities of the Executive team. </w:t>
            </w:r>
          </w:p>
        </w:tc>
      </w:tr>
      <w:tr w:rsidR="000015F4" w:rsidRPr="000273C9" w14:paraId="3940B45B" w14:textId="77777777" w:rsidTr="00831A07">
        <w:tc>
          <w:tcPr>
            <w:tcW w:w="534" w:type="dxa"/>
            <w:vMerge/>
            <w:shd w:val="clear" w:color="auto" w:fill="auto"/>
          </w:tcPr>
          <w:p w14:paraId="7D116115" w14:textId="77777777" w:rsidR="000015F4" w:rsidRPr="004F6FE8" w:rsidRDefault="000015F4" w:rsidP="00161481">
            <w:pPr>
              <w:spacing w:before="40" w:after="40" w:line="240" w:lineRule="atLeast"/>
              <w:rPr>
                <w:rFonts w:ascii="Helvetica 65 Medium" w:hAnsi="Helvetica 65 Medium"/>
                <w:sz w:val="24"/>
                <w:szCs w:val="24"/>
              </w:rPr>
            </w:pPr>
          </w:p>
        </w:tc>
        <w:tc>
          <w:tcPr>
            <w:tcW w:w="9355" w:type="dxa"/>
            <w:gridSpan w:val="3"/>
            <w:shd w:val="clear" w:color="auto" w:fill="auto"/>
          </w:tcPr>
          <w:p w14:paraId="1EC651E6" w14:textId="77777777" w:rsidR="00871226" w:rsidRPr="000273C9" w:rsidRDefault="00871226" w:rsidP="00D35249">
            <w:pPr>
              <w:spacing w:before="40" w:after="40" w:line="240" w:lineRule="atLeast"/>
              <w:jc w:val="both"/>
              <w:rPr>
                <w:rFonts w:ascii="Calibri" w:hAnsi="Calibri" w:cs="Calibri"/>
                <w:sz w:val="24"/>
                <w:szCs w:val="24"/>
              </w:rPr>
            </w:pPr>
          </w:p>
        </w:tc>
      </w:tr>
      <w:tr w:rsidR="00CD7807" w:rsidRPr="000273C9" w14:paraId="787CE067" w14:textId="77777777" w:rsidTr="00831A07">
        <w:tc>
          <w:tcPr>
            <w:tcW w:w="534" w:type="dxa"/>
            <w:vMerge w:val="restart"/>
            <w:shd w:val="clear" w:color="auto" w:fill="auto"/>
          </w:tcPr>
          <w:p w14:paraId="0253CBB2" w14:textId="77777777" w:rsidR="00CD7807" w:rsidRPr="004F6FE8" w:rsidRDefault="00C96274" w:rsidP="00161481">
            <w:pPr>
              <w:spacing w:before="40" w:after="40" w:line="240" w:lineRule="atLeast"/>
              <w:rPr>
                <w:rFonts w:ascii="Calibri" w:hAnsi="Calibri" w:cs="Calibri"/>
                <w:b/>
                <w:color w:val="4F81BD"/>
                <w:sz w:val="24"/>
                <w:szCs w:val="24"/>
              </w:rPr>
            </w:pPr>
            <w:r w:rsidRPr="004F6FE8">
              <w:rPr>
                <w:rFonts w:ascii="Calibri" w:hAnsi="Calibri" w:cs="Calibri"/>
                <w:b/>
                <w:color w:val="4F81BD"/>
                <w:sz w:val="24"/>
                <w:szCs w:val="24"/>
              </w:rPr>
              <w:t>2</w:t>
            </w:r>
            <w:r w:rsidR="00CD7807" w:rsidRPr="004F6FE8">
              <w:rPr>
                <w:rFonts w:ascii="Calibri" w:hAnsi="Calibri" w:cs="Calibri"/>
                <w:b/>
                <w:color w:val="4F81BD"/>
                <w:sz w:val="24"/>
                <w:szCs w:val="24"/>
              </w:rPr>
              <w:t xml:space="preserve">. </w:t>
            </w:r>
          </w:p>
        </w:tc>
        <w:tc>
          <w:tcPr>
            <w:tcW w:w="9355" w:type="dxa"/>
            <w:gridSpan w:val="3"/>
            <w:shd w:val="clear" w:color="auto" w:fill="auto"/>
          </w:tcPr>
          <w:p w14:paraId="63BA2DD3" w14:textId="77777777" w:rsidR="00CD7807" w:rsidRPr="004F6FE8" w:rsidRDefault="00F04AD7" w:rsidP="00D35249">
            <w:pPr>
              <w:spacing w:before="40" w:after="40" w:line="240" w:lineRule="atLeast"/>
              <w:jc w:val="both"/>
              <w:rPr>
                <w:rFonts w:ascii="Calibri" w:hAnsi="Calibri" w:cs="Calibri"/>
                <w:b/>
                <w:color w:val="4F81BD"/>
                <w:sz w:val="24"/>
                <w:szCs w:val="24"/>
              </w:rPr>
            </w:pPr>
            <w:r w:rsidRPr="004F6FE8">
              <w:rPr>
                <w:rFonts w:ascii="Calibri" w:hAnsi="Calibri" w:cs="Calibri"/>
                <w:b/>
                <w:color w:val="4F81BD"/>
                <w:sz w:val="24"/>
                <w:szCs w:val="24"/>
              </w:rPr>
              <w:t>Open</w:t>
            </w:r>
            <w:r w:rsidR="00C96274" w:rsidRPr="004F6FE8">
              <w:rPr>
                <w:rFonts w:ascii="Calibri" w:hAnsi="Calibri" w:cs="Calibri"/>
                <w:b/>
                <w:color w:val="4F81BD"/>
                <w:sz w:val="24"/>
                <w:szCs w:val="24"/>
              </w:rPr>
              <w:t xml:space="preserve"> Session</w:t>
            </w:r>
          </w:p>
        </w:tc>
      </w:tr>
      <w:tr w:rsidR="00CD7807" w:rsidRPr="000273C9" w14:paraId="15E517D9" w14:textId="77777777" w:rsidTr="00831A07">
        <w:tc>
          <w:tcPr>
            <w:tcW w:w="534" w:type="dxa"/>
            <w:vMerge/>
            <w:shd w:val="clear" w:color="auto" w:fill="auto"/>
          </w:tcPr>
          <w:p w14:paraId="69B9BDB6" w14:textId="77777777" w:rsidR="00CD7807" w:rsidRPr="007A1E04" w:rsidRDefault="00CD7807" w:rsidP="00161481">
            <w:pPr>
              <w:spacing w:before="40" w:after="40" w:line="240" w:lineRule="atLeast"/>
              <w:rPr>
                <w:rFonts w:ascii="Helvetica 65 Medium" w:hAnsi="Helvetica 65 Medium"/>
                <w:sz w:val="24"/>
                <w:szCs w:val="24"/>
                <w:highlight w:val="yellow"/>
              </w:rPr>
            </w:pPr>
          </w:p>
        </w:tc>
        <w:tc>
          <w:tcPr>
            <w:tcW w:w="9355" w:type="dxa"/>
            <w:gridSpan w:val="3"/>
            <w:shd w:val="clear" w:color="auto" w:fill="auto"/>
          </w:tcPr>
          <w:p w14:paraId="15AFD758" w14:textId="77777777" w:rsidR="00871226" w:rsidRPr="004F6FE8" w:rsidRDefault="00557988" w:rsidP="00D35249">
            <w:pPr>
              <w:spacing w:before="40" w:after="40"/>
              <w:jc w:val="both"/>
              <w:rPr>
                <w:rFonts w:ascii="Calibri" w:hAnsi="Calibri" w:cs="Calibri"/>
                <w:sz w:val="24"/>
                <w:szCs w:val="24"/>
              </w:rPr>
            </w:pPr>
            <w:r w:rsidRPr="004F6FE8">
              <w:rPr>
                <w:rFonts w:ascii="Calibri" w:hAnsi="Calibri" w:cs="Calibri"/>
                <w:sz w:val="24"/>
                <w:szCs w:val="24"/>
              </w:rPr>
              <w:t>Open session. Any confidential matters will be discussed in a separate report in the confidential session.</w:t>
            </w:r>
          </w:p>
        </w:tc>
      </w:tr>
      <w:tr w:rsidR="00306131" w:rsidRPr="000273C9" w14:paraId="18737891" w14:textId="77777777" w:rsidTr="00831A07">
        <w:tc>
          <w:tcPr>
            <w:tcW w:w="534" w:type="dxa"/>
            <w:shd w:val="clear" w:color="auto" w:fill="auto"/>
          </w:tcPr>
          <w:p w14:paraId="10D0A13F" w14:textId="77777777" w:rsidR="00306131" w:rsidRPr="000273C9" w:rsidRDefault="00306131" w:rsidP="00161481">
            <w:pPr>
              <w:spacing w:before="40" w:after="40" w:line="240" w:lineRule="atLeast"/>
              <w:rPr>
                <w:rFonts w:ascii="Calibri" w:hAnsi="Calibri" w:cs="Calibri"/>
                <w:b/>
                <w:sz w:val="24"/>
                <w:szCs w:val="24"/>
              </w:rPr>
            </w:pPr>
          </w:p>
        </w:tc>
        <w:tc>
          <w:tcPr>
            <w:tcW w:w="9355" w:type="dxa"/>
            <w:gridSpan w:val="3"/>
            <w:shd w:val="clear" w:color="auto" w:fill="auto"/>
          </w:tcPr>
          <w:p w14:paraId="2EC6B751" w14:textId="77777777" w:rsidR="00306131" w:rsidRPr="000273C9" w:rsidRDefault="00306131" w:rsidP="00D35249">
            <w:pPr>
              <w:spacing w:before="40" w:after="40" w:line="240" w:lineRule="atLeast"/>
              <w:ind w:left="567" w:hanging="567"/>
              <w:jc w:val="both"/>
              <w:rPr>
                <w:rFonts w:ascii="Calibri" w:hAnsi="Calibri" w:cs="Calibri"/>
                <w:b/>
                <w:sz w:val="24"/>
                <w:szCs w:val="24"/>
              </w:rPr>
            </w:pPr>
          </w:p>
        </w:tc>
      </w:tr>
      <w:tr w:rsidR="00871226" w:rsidRPr="000273C9" w14:paraId="63A0F5BD" w14:textId="77777777" w:rsidTr="00831A07">
        <w:tc>
          <w:tcPr>
            <w:tcW w:w="534" w:type="dxa"/>
            <w:vMerge w:val="restart"/>
            <w:shd w:val="clear" w:color="auto" w:fill="auto"/>
          </w:tcPr>
          <w:p w14:paraId="20E519DC" w14:textId="77777777" w:rsidR="00871226" w:rsidRPr="00F4103E" w:rsidRDefault="00C96274" w:rsidP="00161481">
            <w:pPr>
              <w:spacing w:before="40" w:after="40" w:line="240" w:lineRule="atLeast"/>
              <w:rPr>
                <w:rFonts w:ascii="Calibri" w:hAnsi="Calibri" w:cs="Calibri"/>
                <w:b/>
                <w:color w:val="4F81BD"/>
                <w:sz w:val="24"/>
                <w:szCs w:val="24"/>
              </w:rPr>
            </w:pPr>
            <w:r>
              <w:rPr>
                <w:rFonts w:ascii="Calibri" w:hAnsi="Calibri" w:cs="Calibri"/>
                <w:b/>
                <w:color w:val="4F81BD"/>
                <w:sz w:val="24"/>
                <w:szCs w:val="24"/>
              </w:rPr>
              <w:t>3</w:t>
            </w:r>
            <w:r w:rsidR="00871226" w:rsidRPr="00F4103E">
              <w:rPr>
                <w:rFonts w:ascii="Calibri" w:hAnsi="Calibri" w:cs="Calibri"/>
                <w:b/>
                <w:color w:val="4F81BD"/>
                <w:sz w:val="24"/>
                <w:szCs w:val="24"/>
              </w:rPr>
              <w:t xml:space="preserve">. </w:t>
            </w:r>
          </w:p>
        </w:tc>
        <w:tc>
          <w:tcPr>
            <w:tcW w:w="9355" w:type="dxa"/>
            <w:gridSpan w:val="3"/>
            <w:shd w:val="clear" w:color="auto" w:fill="auto"/>
          </w:tcPr>
          <w:p w14:paraId="101DD5D5" w14:textId="77777777" w:rsidR="00871226" w:rsidRPr="00F4103E" w:rsidRDefault="00871226" w:rsidP="00D35249">
            <w:pPr>
              <w:spacing w:before="40" w:after="40" w:line="240" w:lineRule="atLeast"/>
              <w:ind w:left="567" w:hanging="567"/>
              <w:jc w:val="both"/>
              <w:rPr>
                <w:rFonts w:ascii="Calibri" w:hAnsi="Calibri" w:cs="Calibri"/>
                <w:b/>
                <w:color w:val="4F81BD"/>
                <w:sz w:val="24"/>
                <w:szCs w:val="24"/>
              </w:rPr>
            </w:pPr>
            <w:r w:rsidRPr="00F4103E">
              <w:rPr>
                <w:rFonts w:ascii="Calibri" w:hAnsi="Calibri" w:cs="Calibri"/>
                <w:b/>
                <w:color w:val="4F81BD"/>
                <w:sz w:val="24"/>
                <w:szCs w:val="24"/>
              </w:rPr>
              <w:t>Contribution to the Board’s Purpose and Objectives</w:t>
            </w:r>
          </w:p>
        </w:tc>
      </w:tr>
      <w:tr w:rsidR="00557988" w:rsidRPr="000273C9" w14:paraId="78780780" w14:textId="77777777" w:rsidTr="00831A07">
        <w:tc>
          <w:tcPr>
            <w:tcW w:w="534" w:type="dxa"/>
            <w:vMerge/>
            <w:shd w:val="clear" w:color="auto" w:fill="auto"/>
          </w:tcPr>
          <w:p w14:paraId="310037B1" w14:textId="77777777" w:rsidR="00557988" w:rsidRPr="000273C9" w:rsidRDefault="00557988" w:rsidP="00161481">
            <w:pPr>
              <w:spacing w:before="40" w:after="40" w:line="240" w:lineRule="atLeast"/>
              <w:rPr>
                <w:rFonts w:ascii="Helvetica 65 Medium" w:hAnsi="Helvetica 65 Medium"/>
                <w:sz w:val="24"/>
                <w:szCs w:val="24"/>
              </w:rPr>
            </w:pPr>
          </w:p>
        </w:tc>
        <w:tc>
          <w:tcPr>
            <w:tcW w:w="9355" w:type="dxa"/>
            <w:gridSpan w:val="3"/>
            <w:shd w:val="clear" w:color="auto" w:fill="auto"/>
          </w:tcPr>
          <w:p w14:paraId="70654795" w14:textId="77777777" w:rsidR="00557988" w:rsidRDefault="00557988" w:rsidP="00D35249">
            <w:pPr>
              <w:spacing w:before="40" w:after="40" w:line="240" w:lineRule="atLeast"/>
              <w:jc w:val="both"/>
              <w:rPr>
                <w:rFonts w:ascii="Calibri" w:hAnsi="Calibri" w:cs="Calibri"/>
                <w:sz w:val="24"/>
                <w:szCs w:val="24"/>
              </w:rPr>
            </w:pPr>
            <w:r w:rsidRPr="003A58F6">
              <w:rPr>
                <w:rFonts w:ascii="Calibri" w:hAnsi="Calibri" w:cs="Calibri"/>
                <w:sz w:val="24"/>
                <w:szCs w:val="24"/>
              </w:rPr>
              <w:t>In delivering the Act, ARB’s objectives are:</w:t>
            </w:r>
          </w:p>
        </w:tc>
      </w:tr>
      <w:tr w:rsidR="00557988" w:rsidRPr="000273C9" w14:paraId="776C90B4" w14:textId="77777777" w:rsidTr="00831A07">
        <w:tc>
          <w:tcPr>
            <w:tcW w:w="534" w:type="dxa"/>
            <w:shd w:val="clear" w:color="auto" w:fill="auto"/>
          </w:tcPr>
          <w:p w14:paraId="2FC4BAC1" w14:textId="77777777" w:rsidR="00557988" w:rsidRDefault="00557988" w:rsidP="00653153">
            <w:pPr>
              <w:spacing w:before="40" w:after="40" w:line="240" w:lineRule="atLeast"/>
              <w:rPr>
                <w:rFonts w:ascii="Calibri" w:hAnsi="Calibri" w:cs="Calibri"/>
                <w:b/>
                <w:color w:val="4F81BD"/>
                <w:sz w:val="24"/>
                <w:szCs w:val="24"/>
              </w:rPr>
            </w:pPr>
          </w:p>
        </w:tc>
        <w:tc>
          <w:tcPr>
            <w:tcW w:w="9355" w:type="dxa"/>
            <w:gridSpan w:val="3"/>
            <w:shd w:val="clear" w:color="auto" w:fill="auto"/>
          </w:tcPr>
          <w:p w14:paraId="293D3E54" w14:textId="77777777" w:rsidR="004F3538" w:rsidRDefault="00557988" w:rsidP="00D35249">
            <w:pPr>
              <w:numPr>
                <w:ilvl w:val="0"/>
                <w:numId w:val="16"/>
              </w:numPr>
              <w:spacing w:before="40" w:after="40" w:line="240" w:lineRule="atLeast"/>
              <w:jc w:val="both"/>
              <w:rPr>
                <w:rFonts w:ascii="Calibri" w:hAnsi="Calibri" w:cs="Calibri"/>
                <w:sz w:val="24"/>
                <w:szCs w:val="24"/>
              </w:rPr>
            </w:pPr>
            <w:r w:rsidRPr="00C60E1D">
              <w:rPr>
                <w:rFonts w:ascii="Calibri" w:hAnsi="Calibri" w:cs="Calibri"/>
                <w:sz w:val="24"/>
                <w:szCs w:val="24"/>
              </w:rPr>
              <w:t>Protect the users and potential users of architects’ services</w:t>
            </w:r>
            <w:r>
              <w:rPr>
                <w:rFonts w:ascii="Calibri" w:hAnsi="Calibri" w:cs="Calibri"/>
                <w:sz w:val="24"/>
                <w:szCs w:val="24"/>
              </w:rPr>
              <w:t>,</w:t>
            </w:r>
            <w:r w:rsidRPr="00C60E1D">
              <w:rPr>
                <w:rFonts w:ascii="Calibri" w:hAnsi="Calibri" w:cs="Calibri"/>
                <w:sz w:val="24"/>
                <w:szCs w:val="24"/>
              </w:rPr>
              <w:t xml:space="preserve"> </w:t>
            </w:r>
            <w:r>
              <w:rPr>
                <w:rFonts w:ascii="Calibri" w:hAnsi="Calibri" w:cs="Calibri"/>
                <w:sz w:val="24"/>
                <w:szCs w:val="24"/>
              </w:rPr>
              <w:t xml:space="preserve">and </w:t>
            </w:r>
          </w:p>
          <w:p w14:paraId="2D8CE98B" w14:textId="77777777" w:rsidR="004F3538" w:rsidRDefault="004F3538" w:rsidP="00D35249">
            <w:pPr>
              <w:numPr>
                <w:ilvl w:val="0"/>
                <w:numId w:val="16"/>
              </w:numPr>
              <w:spacing w:before="40" w:after="40" w:line="240" w:lineRule="atLeast"/>
              <w:jc w:val="both"/>
              <w:rPr>
                <w:rFonts w:ascii="Calibri" w:hAnsi="Calibri" w:cs="Calibri"/>
                <w:sz w:val="24"/>
                <w:szCs w:val="24"/>
              </w:rPr>
            </w:pPr>
            <w:r>
              <w:rPr>
                <w:rFonts w:ascii="Calibri" w:hAnsi="Calibri" w:cs="Calibri"/>
                <w:sz w:val="24"/>
                <w:szCs w:val="24"/>
              </w:rPr>
              <w:t>S</w:t>
            </w:r>
            <w:r w:rsidR="00557988">
              <w:rPr>
                <w:rFonts w:ascii="Calibri" w:hAnsi="Calibri" w:cs="Calibri"/>
                <w:sz w:val="24"/>
                <w:szCs w:val="24"/>
              </w:rPr>
              <w:t>upport architects through Regulation</w:t>
            </w:r>
          </w:p>
          <w:p w14:paraId="11E848D9" w14:textId="77777777" w:rsidR="00557988" w:rsidRDefault="00557988" w:rsidP="00D35249">
            <w:pPr>
              <w:spacing w:before="40" w:after="40" w:line="240" w:lineRule="atLeast"/>
              <w:jc w:val="both"/>
              <w:rPr>
                <w:rFonts w:ascii="Calibri" w:hAnsi="Calibri" w:cs="Calibri"/>
                <w:sz w:val="24"/>
                <w:szCs w:val="24"/>
              </w:rPr>
            </w:pPr>
            <w:r w:rsidRPr="00916120">
              <w:rPr>
                <w:rFonts w:ascii="Calibri" w:hAnsi="Calibri" w:cs="Calibri"/>
                <w:sz w:val="24"/>
                <w:szCs w:val="24"/>
              </w:rPr>
              <w:t>ARB’s Operational Activities Report keeps the Board</w:t>
            </w:r>
            <w:r w:rsidRPr="00763486">
              <w:rPr>
                <w:rFonts w:ascii="Calibri" w:hAnsi="Calibri" w:cs="Calibri"/>
                <w:sz w:val="24"/>
                <w:szCs w:val="24"/>
              </w:rPr>
              <w:t xml:space="preserve"> informed of activities which ensure that ARB meets its purpose and objectives</w:t>
            </w:r>
            <w:r>
              <w:rPr>
                <w:rFonts w:ascii="Calibri" w:hAnsi="Calibri" w:cs="Calibri"/>
                <w:sz w:val="24"/>
                <w:szCs w:val="24"/>
              </w:rPr>
              <w:t>,</w:t>
            </w:r>
            <w:r w:rsidR="001515C8">
              <w:rPr>
                <w:rFonts w:ascii="Calibri" w:hAnsi="Calibri" w:cs="Calibri"/>
                <w:sz w:val="24"/>
                <w:szCs w:val="24"/>
              </w:rPr>
              <w:t xml:space="preserve"> its statement of priorities</w:t>
            </w:r>
            <w:r w:rsidRPr="00763486">
              <w:rPr>
                <w:rFonts w:ascii="Calibri" w:hAnsi="Calibri" w:cs="Calibri"/>
                <w:sz w:val="24"/>
                <w:szCs w:val="24"/>
              </w:rPr>
              <w:t xml:space="preserve"> and delivers against the Business Plan.</w:t>
            </w:r>
          </w:p>
          <w:p w14:paraId="173F6E06" w14:textId="77777777" w:rsidR="00557988" w:rsidRDefault="00557988" w:rsidP="00D35249">
            <w:pPr>
              <w:spacing w:before="40" w:after="40" w:line="240" w:lineRule="atLeast"/>
              <w:jc w:val="both"/>
              <w:rPr>
                <w:rFonts w:ascii="Calibri" w:hAnsi="Calibri" w:cs="Calibri"/>
                <w:sz w:val="24"/>
                <w:szCs w:val="24"/>
              </w:rPr>
            </w:pPr>
          </w:p>
        </w:tc>
      </w:tr>
      <w:tr w:rsidR="007D415C" w:rsidRPr="000273C9" w14:paraId="712BACB8" w14:textId="77777777" w:rsidTr="007D415C">
        <w:trPr>
          <w:trHeight w:val="389"/>
        </w:trPr>
        <w:tc>
          <w:tcPr>
            <w:tcW w:w="534" w:type="dxa"/>
            <w:shd w:val="clear" w:color="auto" w:fill="auto"/>
          </w:tcPr>
          <w:p w14:paraId="1AF82FE5" w14:textId="77777777" w:rsidR="007D415C" w:rsidRPr="00F4103E" w:rsidRDefault="007D415C" w:rsidP="00161481">
            <w:pPr>
              <w:spacing w:before="40" w:after="40" w:line="240" w:lineRule="atLeast"/>
              <w:rPr>
                <w:rFonts w:ascii="Calibri" w:hAnsi="Calibri" w:cs="Calibri"/>
                <w:b/>
                <w:color w:val="4F81BD"/>
                <w:sz w:val="24"/>
                <w:szCs w:val="24"/>
              </w:rPr>
            </w:pPr>
            <w:r>
              <w:rPr>
                <w:rFonts w:ascii="Calibri" w:hAnsi="Calibri" w:cs="Calibri"/>
                <w:b/>
                <w:color w:val="4F81BD"/>
                <w:sz w:val="24"/>
                <w:szCs w:val="24"/>
              </w:rPr>
              <w:t>4</w:t>
            </w:r>
            <w:r w:rsidRPr="00F4103E">
              <w:rPr>
                <w:rFonts w:ascii="Calibri" w:hAnsi="Calibri" w:cs="Calibri"/>
                <w:b/>
                <w:color w:val="4F81BD"/>
                <w:sz w:val="24"/>
                <w:szCs w:val="24"/>
              </w:rPr>
              <w:t xml:space="preserve">. </w:t>
            </w:r>
          </w:p>
        </w:tc>
        <w:tc>
          <w:tcPr>
            <w:tcW w:w="9355" w:type="dxa"/>
            <w:gridSpan w:val="3"/>
            <w:shd w:val="clear" w:color="auto" w:fill="auto"/>
          </w:tcPr>
          <w:p w14:paraId="3E522A40" w14:textId="4B14D6F0" w:rsidR="000F4102" w:rsidRPr="008E23BE" w:rsidRDefault="007D415C" w:rsidP="00775E61">
            <w:pPr>
              <w:spacing w:before="40" w:after="40" w:line="240" w:lineRule="atLeast"/>
              <w:jc w:val="both"/>
              <w:rPr>
                <w:rFonts w:ascii="Calibri" w:hAnsi="Calibri" w:cs="Calibri"/>
                <w:b/>
                <w:color w:val="548DD4"/>
                <w:sz w:val="24"/>
                <w:szCs w:val="24"/>
              </w:rPr>
            </w:pPr>
            <w:r>
              <w:rPr>
                <w:rFonts w:ascii="Calibri" w:hAnsi="Calibri" w:cs="Calibri"/>
                <w:b/>
                <w:color w:val="548DD4"/>
                <w:sz w:val="24"/>
                <w:szCs w:val="24"/>
              </w:rPr>
              <w:t>Update on Core Projects</w:t>
            </w:r>
          </w:p>
        </w:tc>
      </w:tr>
      <w:tr w:rsidR="008E23BE" w:rsidRPr="000273C9" w14:paraId="164B2478" w14:textId="77777777" w:rsidTr="008E23BE">
        <w:trPr>
          <w:trHeight w:val="389"/>
        </w:trPr>
        <w:tc>
          <w:tcPr>
            <w:tcW w:w="534" w:type="dxa"/>
            <w:shd w:val="clear" w:color="auto" w:fill="auto"/>
          </w:tcPr>
          <w:p w14:paraId="7E02AA9B" w14:textId="77777777" w:rsidR="008E23BE" w:rsidRDefault="008E23BE" w:rsidP="00161481">
            <w:pPr>
              <w:spacing w:before="40" w:after="40" w:line="240" w:lineRule="atLeast"/>
              <w:rPr>
                <w:rFonts w:ascii="Calibri" w:hAnsi="Calibri" w:cs="Calibri"/>
                <w:b/>
                <w:color w:val="4F81BD"/>
                <w:sz w:val="24"/>
                <w:szCs w:val="24"/>
              </w:rPr>
            </w:pPr>
          </w:p>
        </w:tc>
        <w:tc>
          <w:tcPr>
            <w:tcW w:w="850" w:type="dxa"/>
            <w:shd w:val="clear" w:color="auto" w:fill="auto"/>
          </w:tcPr>
          <w:p w14:paraId="387D6459" w14:textId="19C7F1DB" w:rsidR="008E23BE" w:rsidRDefault="008E23BE" w:rsidP="008E23BE">
            <w:pPr>
              <w:spacing w:before="40" w:after="40" w:line="240" w:lineRule="atLeast"/>
              <w:jc w:val="right"/>
              <w:rPr>
                <w:rFonts w:ascii="Calibri" w:hAnsi="Calibri" w:cs="Calibri"/>
                <w:b/>
                <w:color w:val="548DD4"/>
                <w:sz w:val="24"/>
                <w:szCs w:val="24"/>
              </w:rPr>
            </w:pPr>
          </w:p>
        </w:tc>
        <w:tc>
          <w:tcPr>
            <w:tcW w:w="8505" w:type="dxa"/>
            <w:gridSpan w:val="2"/>
            <w:shd w:val="clear" w:color="auto" w:fill="auto"/>
          </w:tcPr>
          <w:p w14:paraId="5D1310F9" w14:textId="77777777" w:rsidR="008E23BE" w:rsidRPr="008E23BE" w:rsidRDefault="008E23BE" w:rsidP="008E23BE">
            <w:pPr>
              <w:spacing w:before="40" w:after="40" w:line="240" w:lineRule="atLeast"/>
              <w:jc w:val="both"/>
              <w:rPr>
                <w:rFonts w:ascii="Calibri" w:hAnsi="Calibri" w:cs="Calibri"/>
                <w:b/>
                <w:sz w:val="24"/>
                <w:szCs w:val="24"/>
                <w:u w:val="single"/>
              </w:rPr>
            </w:pPr>
            <w:r w:rsidRPr="008E23BE">
              <w:rPr>
                <w:rFonts w:ascii="Calibri" w:hAnsi="Calibri" w:cs="Calibri"/>
                <w:b/>
                <w:sz w:val="24"/>
                <w:szCs w:val="24"/>
                <w:u w:val="single"/>
              </w:rPr>
              <w:t>Competence Review</w:t>
            </w:r>
          </w:p>
          <w:p w14:paraId="0AB3D2F4" w14:textId="57FFD155" w:rsidR="00824E53" w:rsidRDefault="00523353" w:rsidP="009E1214">
            <w:pPr>
              <w:spacing w:before="40" w:after="40" w:line="240" w:lineRule="atLeast"/>
              <w:jc w:val="both"/>
              <w:rPr>
                <w:rFonts w:ascii="Calibri" w:hAnsi="Calibri" w:cs="Calibri"/>
                <w:sz w:val="24"/>
                <w:szCs w:val="24"/>
              </w:rPr>
            </w:pPr>
            <w:r>
              <w:rPr>
                <w:rFonts w:ascii="Calibri" w:hAnsi="Calibri" w:cs="Calibri"/>
                <w:sz w:val="24"/>
                <w:szCs w:val="24"/>
              </w:rPr>
              <w:t xml:space="preserve">We are currently </w:t>
            </w:r>
            <w:r w:rsidR="00AC6E50">
              <w:rPr>
                <w:rFonts w:ascii="Calibri" w:hAnsi="Calibri" w:cs="Calibri"/>
                <w:sz w:val="24"/>
                <w:szCs w:val="24"/>
              </w:rPr>
              <w:t>finalising</w:t>
            </w:r>
            <w:r w:rsidR="009E483D">
              <w:rPr>
                <w:rFonts w:ascii="Calibri" w:hAnsi="Calibri" w:cs="Calibri"/>
                <w:sz w:val="24"/>
                <w:szCs w:val="24"/>
              </w:rPr>
              <w:t xml:space="preserve"> a policy discussion paper setting out our proposed approach to the outcomes expected at the end of the initial period of education and training as well as the Board’s high-level position on routes to registration. This paper </w:t>
            </w:r>
            <w:proofErr w:type="gramStart"/>
            <w:r w:rsidR="00AC6E50">
              <w:rPr>
                <w:rFonts w:ascii="Calibri" w:hAnsi="Calibri" w:cs="Calibri"/>
                <w:sz w:val="24"/>
                <w:szCs w:val="24"/>
              </w:rPr>
              <w:t>takes</w:t>
            </w:r>
            <w:r w:rsidR="009E483D">
              <w:rPr>
                <w:rFonts w:ascii="Calibri" w:hAnsi="Calibri" w:cs="Calibri"/>
                <w:sz w:val="24"/>
                <w:szCs w:val="24"/>
              </w:rPr>
              <w:t xml:space="preserve"> into account</w:t>
            </w:r>
            <w:proofErr w:type="gramEnd"/>
            <w:r w:rsidR="009E483D">
              <w:rPr>
                <w:rFonts w:ascii="Calibri" w:hAnsi="Calibri" w:cs="Calibri"/>
                <w:sz w:val="24"/>
                <w:szCs w:val="24"/>
              </w:rPr>
              <w:t xml:space="preserve"> </w:t>
            </w:r>
            <w:r>
              <w:rPr>
                <w:rFonts w:ascii="Calibri" w:hAnsi="Calibri" w:cs="Calibri"/>
                <w:sz w:val="24"/>
                <w:szCs w:val="24"/>
              </w:rPr>
              <w:t>the research carried out by SQW, the feedback from the Board development day, the input from the two listening sessions carried out with the ARB Engagement Group and the advice of the Competency Working Group</w:t>
            </w:r>
            <w:r w:rsidR="009E483D">
              <w:rPr>
                <w:rFonts w:ascii="Calibri" w:hAnsi="Calibri" w:cs="Calibri"/>
                <w:sz w:val="24"/>
                <w:szCs w:val="24"/>
              </w:rPr>
              <w:t>.</w:t>
            </w:r>
          </w:p>
          <w:p w14:paraId="2D9C7396" w14:textId="2A6E33DE" w:rsidR="00523353" w:rsidRDefault="00523353" w:rsidP="009E1214">
            <w:pPr>
              <w:spacing w:before="40" w:after="40" w:line="240" w:lineRule="atLeast"/>
              <w:jc w:val="both"/>
              <w:rPr>
                <w:rFonts w:ascii="Calibri" w:hAnsi="Calibri" w:cs="Calibri"/>
                <w:sz w:val="24"/>
                <w:szCs w:val="24"/>
              </w:rPr>
            </w:pPr>
            <w:r>
              <w:rPr>
                <w:rFonts w:ascii="Calibri" w:hAnsi="Calibri" w:cs="Calibri"/>
                <w:sz w:val="24"/>
                <w:szCs w:val="24"/>
              </w:rPr>
              <w:t xml:space="preserve">We will be inviting views on </w:t>
            </w:r>
            <w:r w:rsidR="00136959">
              <w:rPr>
                <w:rFonts w:ascii="Calibri" w:hAnsi="Calibri" w:cs="Calibri"/>
                <w:sz w:val="24"/>
                <w:szCs w:val="24"/>
              </w:rPr>
              <w:t xml:space="preserve">our </w:t>
            </w:r>
            <w:r>
              <w:rPr>
                <w:rFonts w:ascii="Calibri" w:hAnsi="Calibri" w:cs="Calibri"/>
                <w:sz w:val="24"/>
                <w:szCs w:val="24"/>
              </w:rPr>
              <w:t xml:space="preserve">proposed </w:t>
            </w:r>
            <w:r w:rsidR="00136959">
              <w:rPr>
                <w:rFonts w:ascii="Calibri" w:hAnsi="Calibri" w:cs="Calibri"/>
                <w:sz w:val="24"/>
                <w:szCs w:val="24"/>
              </w:rPr>
              <w:t xml:space="preserve">approach </w:t>
            </w:r>
            <w:r>
              <w:rPr>
                <w:rFonts w:ascii="Calibri" w:hAnsi="Calibri" w:cs="Calibri"/>
                <w:sz w:val="24"/>
                <w:szCs w:val="24"/>
              </w:rPr>
              <w:t xml:space="preserve">before the process of </w:t>
            </w:r>
            <w:r w:rsidR="00136959">
              <w:rPr>
                <w:rFonts w:ascii="Calibri" w:hAnsi="Calibri" w:cs="Calibri"/>
                <w:sz w:val="24"/>
                <w:szCs w:val="24"/>
              </w:rPr>
              <w:t xml:space="preserve">developing the proposed outcomes </w:t>
            </w:r>
            <w:r w:rsidR="009E483D">
              <w:rPr>
                <w:rFonts w:ascii="Calibri" w:hAnsi="Calibri" w:cs="Calibri"/>
                <w:sz w:val="24"/>
                <w:szCs w:val="24"/>
              </w:rPr>
              <w:t xml:space="preserve">for trainee architects </w:t>
            </w:r>
            <w:r w:rsidR="00136959">
              <w:rPr>
                <w:rFonts w:ascii="Calibri" w:hAnsi="Calibri" w:cs="Calibri"/>
                <w:sz w:val="24"/>
                <w:szCs w:val="24"/>
              </w:rPr>
              <w:t xml:space="preserve">and standards for institutions which will require further engagement and </w:t>
            </w:r>
            <w:r>
              <w:rPr>
                <w:rFonts w:ascii="Calibri" w:hAnsi="Calibri" w:cs="Calibri"/>
                <w:sz w:val="24"/>
                <w:szCs w:val="24"/>
              </w:rPr>
              <w:t xml:space="preserve">formal consultation </w:t>
            </w:r>
            <w:r w:rsidR="00136959">
              <w:rPr>
                <w:rFonts w:ascii="Calibri" w:hAnsi="Calibri" w:cs="Calibri"/>
                <w:sz w:val="24"/>
                <w:szCs w:val="24"/>
              </w:rPr>
              <w:t>later in the year</w:t>
            </w:r>
            <w:r>
              <w:rPr>
                <w:rFonts w:ascii="Calibri" w:hAnsi="Calibri" w:cs="Calibri"/>
                <w:sz w:val="24"/>
                <w:szCs w:val="24"/>
              </w:rPr>
              <w:t>.</w:t>
            </w:r>
          </w:p>
          <w:p w14:paraId="7A144F99" w14:textId="783E8F19" w:rsidR="00EB7FA2" w:rsidRDefault="00EB7FA2" w:rsidP="009E1214">
            <w:pPr>
              <w:spacing w:before="40" w:after="40" w:line="240" w:lineRule="atLeast"/>
              <w:jc w:val="both"/>
              <w:rPr>
                <w:rFonts w:ascii="Calibri" w:hAnsi="Calibri" w:cs="Calibri"/>
                <w:sz w:val="24"/>
                <w:szCs w:val="24"/>
              </w:rPr>
            </w:pPr>
          </w:p>
          <w:p w14:paraId="1304AF4A" w14:textId="35C57171" w:rsidR="00EB7FA2" w:rsidRDefault="00EB7FA2" w:rsidP="009E1214">
            <w:pPr>
              <w:spacing w:before="40" w:after="40" w:line="240" w:lineRule="atLeast"/>
              <w:jc w:val="both"/>
              <w:rPr>
                <w:rFonts w:ascii="Calibri" w:hAnsi="Calibri" w:cs="Calibri"/>
                <w:sz w:val="24"/>
                <w:szCs w:val="24"/>
              </w:rPr>
            </w:pPr>
          </w:p>
          <w:p w14:paraId="729DC16E" w14:textId="77777777" w:rsidR="00EB7FA2" w:rsidRPr="00547F4F" w:rsidRDefault="00EB7FA2" w:rsidP="009E1214">
            <w:pPr>
              <w:spacing w:before="40" w:after="40" w:line="240" w:lineRule="atLeast"/>
              <w:jc w:val="both"/>
              <w:rPr>
                <w:rFonts w:ascii="Calibri" w:hAnsi="Calibri" w:cs="Calibri"/>
                <w:sz w:val="24"/>
                <w:szCs w:val="24"/>
              </w:rPr>
            </w:pPr>
          </w:p>
          <w:p w14:paraId="475801D5" w14:textId="24179A0B" w:rsidR="008E23BE" w:rsidRDefault="008E23BE" w:rsidP="00775E61">
            <w:pPr>
              <w:spacing w:before="40" w:after="40" w:line="240" w:lineRule="atLeast"/>
              <w:jc w:val="both"/>
              <w:rPr>
                <w:rFonts w:ascii="Calibri" w:hAnsi="Calibri" w:cs="Calibri"/>
                <w:b/>
                <w:color w:val="548DD4"/>
                <w:sz w:val="24"/>
                <w:szCs w:val="24"/>
              </w:rPr>
            </w:pPr>
          </w:p>
        </w:tc>
      </w:tr>
      <w:tr w:rsidR="008E23BE" w:rsidRPr="000273C9" w14:paraId="0A9C61B2" w14:textId="77777777" w:rsidTr="008E23BE">
        <w:trPr>
          <w:trHeight w:val="389"/>
        </w:trPr>
        <w:tc>
          <w:tcPr>
            <w:tcW w:w="534" w:type="dxa"/>
            <w:shd w:val="clear" w:color="auto" w:fill="auto"/>
          </w:tcPr>
          <w:p w14:paraId="4433E9FD" w14:textId="77777777" w:rsidR="008E23BE" w:rsidRDefault="008E23BE" w:rsidP="00161481">
            <w:pPr>
              <w:spacing w:before="40" w:after="40" w:line="240" w:lineRule="atLeast"/>
              <w:rPr>
                <w:rFonts w:ascii="Calibri" w:hAnsi="Calibri" w:cs="Calibri"/>
                <w:b/>
                <w:color w:val="4F81BD"/>
                <w:sz w:val="24"/>
                <w:szCs w:val="24"/>
              </w:rPr>
            </w:pPr>
          </w:p>
        </w:tc>
        <w:tc>
          <w:tcPr>
            <w:tcW w:w="850" w:type="dxa"/>
            <w:shd w:val="clear" w:color="auto" w:fill="auto"/>
          </w:tcPr>
          <w:p w14:paraId="16A4750A" w14:textId="5E19ACC2" w:rsidR="008E23BE" w:rsidRDefault="008E23BE" w:rsidP="008E23BE">
            <w:pPr>
              <w:spacing w:before="40" w:after="40" w:line="240" w:lineRule="atLeast"/>
              <w:jc w:val="right"/>
              <w:rPr>
                <w:rFonts w:ascii="Calibri" w:hAnsi="Calibri" w:cs="Calibri"/>
                <w:b/>
                <w:color w:val="548DD4"/>
                <w:sz w:val="24"/>
                <w:szCs w:val="24"/>
              </w:rPr>
            </w:pPr>
          </w:p>
        </w:tc>
        <w:tc>
          <w:tcPr>
            <w:tcW w:w="8505" w:type="dxa"/>
            <w:gridSpan w:val="2"/>
            <w:shd w:val="clear" w:color="auto" w:fill="auto"/>
          </w:tcPr>
          <w:p w14:paraId="09237B72" w14:textId="252E52B5" w:rsidR="008E23BE" w:rsidRPr="008E23BE" w:rsidRDefault="008E23BE" w:rsidP="008E23BE">
            <w:pPr>
              <w:spacing w:before="40" w:after="40" w:line="240" w:lineRule="atLeast"/>
              <w:jc w:val="both"/>
              <w:rPr>
                <w:rFonts w:ascii="Calibri" w:hAnsi="Calibri" w:cs="Calibri"/>
                <w:b/>
                <w:sz w:val="24"/>
                <w:szCs w:val="24"/>
                <w:u w:val="single"/>
              </w:rPr>
            </w:pPr>
            <w:r w:rsidRPr="008E23BE">
              <w:rPr>
                <w:rFonts w:ascii="Calibri" w:hAnsi="Calibri" w:cs="Calibri"/>
                <w:b/>
                <w:sz w:val="24"/>
                <w:szCs w:val="24"/>
                <w:u w:val="single"/>
              </w:rPr>
              <w:t>EU Exit</w:t>
            </w:r>
            <w:r w:rsidR="00D702B3">
              <w:rPr>
                <w:rFonts w:ascii="Calibri" w:hAnsi="Calibri" w:cs="Calibri"/>
                <w:b/>
                <w:sz w:val="24"/>
                <w:szCs w:val="24"/>
                <w:u w:val="single"/>
              </w:rPr>
              <w:t>/Development of International Routes to Registration</w:t>
            </w:r>
          </w:p>
          <w:p w14:paraId="11E23DC5" w14:textId="4CB298B7" w:rsidR="008A44DC" w:rsidRDefault="00D702B3" w:rsidP="008A44DC">
            <w:pPr>
              <w:spacing w:before="40" w:after="40" w:line="240" w:lineRule="atLeast"/>
              <w:jc w:val="both"/>
              <w:rPr>
                <w:rFonts w:ascii="Calibri" w:hAnsi="Calibri" w:cs="Calibri"/>
                <w:color w:val="000000" w:themeColor="text1"/>
                <w:sz w:val="24"/>
                <w:szCs w:val="24"/>
              </w:rPr>
            </w:pPr>
            <w:r>
              <w:rPr>
                <w:rFonts w:ascii="Calibri" w:hAnsi="Calibri" w:cs="Calibri"/>
                <w:color w:val="000000" w:themeColor="text1"/>
                <w:sz w:val="24"/>
                <w:szCs w:val="24"/>
              </w:rPr>
              <w:t>The</w:t>
            </w:r>
            <w:r w:rsidR="008A44DC">
              <w:rPr>
                <w:rFonts w:ascii="Calibri" w:hAnsi="Calibri" w:cs="Calibri"/>
                <w:color w:val="000000" w:themeColor="text1"/>
                <w:sz w:val="24"/>
                <w:szCs w:val="24"/>
              </w:rPr>
              <w:t xml:space="preserve"> </w:t>
            </w:r>
            <w:r w:rsidR="008A44DC" w:rsidRPr="000846B1">
              <w:rPr>
                <w:rFonts w:ascii="Calibri" w:hAnsi="Calibri" w:cs="Calibri"/>
                <w:color w:val="000000" w:themeColor="text1"/>
                <w:sz w:val="24"/>
                <w:szCs w:val="24"/>
              </w:rPr>
              <w:t xml:space="preserve">Ministry of </w:t>
            </w:r>
            <w:r w:rsidR="008A44DC" w:rsidRPr="00547F4F">
              <w:rPr>
                <w:rFonts w:ascii="Calibri" w:hAnsi="Calibri" w:cs="Calibri"/>
                <w:sz w:val="24"/>
                <w:szCs w:val="24"/>
              </w:rPr>
              <w:t>Housing</w:t>
            </w:r>
            <w:r w:rsidR="008A44DC" w:rsidRPr="000846B1">
              <w:rPr>
                <w:rFonts w:ascii="Calibri" w:hAnsi="Calibri" w:cs="Calibri"/>
                <w:color w:val="000000" w:themeColor="text1"/>
                <w:sz w:val="24"/>
                <w:szCs w:val="24"/>
              </w:rPr>
              <w:t xml:space="preserve">, Communities and Local Government’s (MHCLG) consultation in relation to the future ways in which international qualifications could be </w:t>
            </w:r>
            <w:r w:rsidR="008A44DC">
              <w:rPr>
                <w:rFonts w:ascii="Calibri" w:hAnsi="Calibri" w:cs="Calibri"/>
                <w:color w:val="000000" w:themeColor="text1"/>
                <w:sz w:val="24"/>
                <w:szCs w:val="24"/>
              </w:rPr>
              <w:t>recognised</w:t>
            </w:r>
            <w:r>
              <w:rPr>
                <w:rFonts w:ascii="Calibri" w:hAnsi="Calibri" w:cs="Calibri"/>
                <w:color w:val="000000" w:themeColor="text1"/>
                <w:sz w:val="24"/>
                <w:szCs w:val="24"/>
              </w:rPr>
              <w:t xml:space="preserve"> has </w:t>
            </w:r>
            <w:r w:rsidR="007D25F6">
              <w:rPr>
                <w:rFonts w:ascii="Calibri" w:hAnsi="Calibri" w:cs="Calibri"/>
                <w:color w:val="000000" w:themeColor="text1"/>
                <w:sz w:val="24"/>
                <w:szCs w:val="24"/>
              </w:rPr>
              <w:t xml:space="preserve">now </w:t>
            </w:r>
            <w:r>
              <w:rPr>
                <w:rFonts w:ascii="Calibri" w:hAnsi="Calibri" w:cs="Calibri"/>
                <w:color w:val="000000" w:themeColor="text1"/>
                <w:sz w:val="24"/>
                <w:szCs w:val="24"/>
              </w:rPr>
              <w:t>been published</w:t>
            </w:r>
            <w:r w:rsidR="008A44DC">
              <w:rPr>
                <w:rFonts w:ascii="Calibri" w:hAnsi="Calibri" w:cs="Calibri"/>
                <w:color w:val="000000" w:themeColor="text1"/>
                <w:sz w:val="24"/>
                <w:szCs w:val="24"/>
              </w:rPr>
              <w:t>.</w:t>
            </w:r>
            <w:r>
              <w:rPr>
                <w:rFonts w:ascii="Calibri" w:hAnsi="Calibri" w:cs="Calibri"/>
                <w:color w:val="000000" w:themeColor="text1"/>
                <w:sz w:val="24"/>
                <w:szCs w:val="24"/>
              </w:rPr>
              <w:t xml:space="preserve">  The Professional Qualifications Bill was introduced to Parliament in mid</w:t>
            </w:r>
            <w:r w:rsidR="007D25F6">
              <w:rPr>
                <w:rFonts w:ascii="Calibri" w:hAnsi="Calibri" w:cs="Calibri"/>
                <w:color w:val="000000" w:themeColor="text1"/>
                <w:sz w:val="24"/>
                <w:szCs w:val="24"/>
              </w:rPr>
              <w:t>-</w:t>
            </w:r>
            <w:r>
              <w:rPr>
                <w:rFonts w:ascii="Calibri" w:hAnsi="Calibri" w:cs="Calibri"/>
                <w:color w:val="000000" w:themeColor="text1"/>
                <w:sz w:val="24"/>
                <w:szCs w:val="24"/>
              </w:rPr>
              <w:t xml:space="preserve">May 2021.  </w:t>
            </w:r>
            <w:r w:rsidRPr="00D702B3">
              <w:rPr>
                <w:rFonts w:ascii="Calibri" w:hAnsi="Calibri" w:cs="Calibri"/>
                <w:color w:val="000000" w:themeColor="text1"/>
                <w:sz w:val="24"/>
                <w:szCs w:val="24"/>
              </w:rPr>
              <w:t>The Bill</w:t>
            </w:r>
            <w:r>
              <w:rPr>
                <w:rFonts w:ascii="Calibri" w:hAnsi="Calibri" w:cs="Calibri"/>
                <w:color w:val="000000" w:themeColor="text1"/>
                <w:sz w:val="24"/>
                <w:szCs w:val="24"/>
              </w:rPr>
              <w:t xml:space="preserve">, if approved, will provide ARB with the </w:t>
            </w:r>
            <w:r w:rsidRPr="00D702B3">
              <w:rPr>
                <w:rFonts w:ascii="Calibri" w:hAnsi="Calibri" w:cs="Calibri"/>
                <w:color w:val="333333"/>
                <w:sz w:val="24"/>
                <w:szCs w:val="24"/>
                <w:shd w:val="clear" w:color="auto" w:fill="FFFFFF"/>
              </w:rPr>
              <w:t>ability to pursue opportunities for UK architects to work internationally; this is likely to take the form of reciprocal arrangements with counterpart regulators in other countries.</w:t>
            </w:r>
            <w:r w:rsidRPr="00D702B3">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 </w:t>
            </w:r>
            <w:r w:rsidR="007D25F6">
              <w:rPr>
                <w:rFonts w:ascii="Calibri" w:hAnsi="Calibri" w:cs="Calibri"/>
                <w:color w:val="000000" w:themeColor="text1"/>
                <w:sz w:val="24"/>
                <w:szCs w:val="24"/>
              </w:rPr>
              <w:t>Under the provisions within the Bill, the Board would</w:t>
            </w:r>
            <w:r>
              <w:rPr>
                <w:rFonts w:ascii="Calibri" w:hAnsi="Calibri" w:cs="Calibri"/>
                <w:color w:val="000000" w:themeColor="text1"/>
                <w:sz w:val="24"/>
                <w:szCs w:val="24"/>
              </w:rPr>
              <w:t xml:space="preserve"> therefore have the powers to establish rules, setting out how it will recognise international qualifications and to apply additional requirements to individuals holding international qualifications who were seeking to gain entry to the UK Register.  </w:t>
            </w:r>
            <w:r w:rsidR="008A44DC" w:rsidRPr="000846B1">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We anticipate </w:t>
            </w:r>
            <w:r w:rsidR="007D25F6">
              <w:rPr>
                <w:rFonts w:ascii="Calibri" w:hAnsi="Calibri" w:cs="Calibri"/>
                <w:color w:val="000000" w:themeColor="text1"/>
                <w:sz w:val="24"/>
                <w:szCs w:val="24"/>
              </w:rPr>
              <w:t xml:space="preserve">the legislative process will be complete in the first part of 2022. </w:t>
            </w:r>
            <w:r w:rsidR="008A44DC" w:rsidRPr="000846B1">
              <w:rPr>
                <w:rFonts w:ascii="Calibri" w:hAnsi="Calibri" w:cs="Calibri"/>
                <w:color w:val="000000" w:themeColor="text1"/>
                <w:sz w:val="24"/>
                <w:szCs w:val="24"/>
              </w:rPr>
              <w:t xml:space="preserve">We </w:t>
            </w:r>
            <w:r w:rsidR="008A44DC">
              <w:rPr>
                <w:rFonts w:ascii="Calibri" w:hAnsi="Calibri" w:cs="Calibri"/>
                <w:color w:val="000000" w:themeColor="text1"/>
                <w:sz w:val="24"/>
                <w:szCs w:val="24"/>
              </w:rPr>
              <w:t xml:space="preserve">are </w:t>
            </w:r>
            <w:r w:rsidR="008A44DC" w:rsidRPr="000846B1">
              <w:rPr>
                <w:rFonts w:ascii="Calibri" w:hAnsi="Calibri" w:cs="Calibri"/>
                <w:color w:val="000000" w:themeColor="text1"/>
                <w:sz w:val="24"/>
                <w:szCs w:val="24"/>
              </w:rPr>
              <w:t>continu</w:t>
            </w:r>
            <w:r w:rsidR="008A44DC">
              <w:rPr>
                <w:rFonts w:ascii="Calibri" w:hAnsi="Calibri" w:cs="Calibri"/>
                <w:color w:val="000000" w:themeColor="text1"/>
                <w:sz w:val="24"/>
                <w:szCs w:val="24"/>
              </w:rPr>
              <w:t>ing</w:t>
            </w:r>
            <w:r w:rsidR="008A44DC" w:rsidRPr="000846B1">
              <w:rPr>
                <w:rFonts w:ascii="Calibri" w:hAnsi="Calibri" w:cs="Calibri"/>
                <w:color w:val="000000" w:themeColor="text1"/>
                <w:sz w:val="24"/>
                <w:szCs w:val="24"/>
              </w:rPr>
              <w:t xml:space="preserve"> to work closely with MHCLG, providing advice and support </w:t>
            </w:r>
            <w:r w:rsidR="007D25F6">
              <w:rPr>
                <w:rFonts w:ascii="Calibri" w:hAnsi="Calibri" w:cs="Calibri"/>
                <w:color w:val="000000" w:themeColor="text1"/>
                <w:sz w:val="24"/>
                <w:szCs w:val="24"/>
              </w:rPr>
              <w:t>as the legislation makes its way through the parliamentary processes.</w:t>
            </w:r>
          </w:p>
          <w:p w14:paraId="6B21C4E3" w14:textId="4B00EB91" w:rsidR="007D25F6" w:rsidRDefault="007D25F6" w:rsidP="008A44DC">
            <w:pPr>
              <w:spacing w:before="40" w:after="40" w:line="240" w:lineRule="atLeast"/>
              <w:jc w:val="both"/>
              <w:rPr>
                <w:rFonts w:ascii="Calibri" w:hAnsi="Calibri" w:cs="Calibri"/>
                <w:color w:val="000000" w:themeColor="text1"/>
                <w:sz w:val="24"/>
                <w:szCs w:val="24"/>
              </w:rPr>
            </w:pPr>
            <w:r>
              <w:rPr>
                <w:rFonts w:ascii="Calibri" w:hAnsi="Calibri" w:cs="Calibri"/>
                <w:color w:val="000000" w:themeColor="text1"/>
                <w:sz w:val="24"/>
                <w:szCs w:val="24"/>
              </w:rPr>
              <w:t xml:space="preserve">In parallel, we are developing principles and criteria upon which we will base the development of our new international routes to registration as well as our approach to mutual recognition agreements.  </w:t>
            </w:r>
            <w:r w:rsidR="003A0FF9">
              <w:rPr>
                <w:rFonts w:ascii="Calibri" w:hAnsi="Calibri" w:cs="Calibri"/>
                <w:color w:val="000000" w:themeColor="text1"/>
                <w:sz w:val="24"/>
                <w:szCs w:val="24"/>
              </w:rPr>
              <w:t>As outlined below, w</w:t>
            </w:r>
            <w:r>
              <w:rPr>
                <w:rFonts w:ascii="Calibri" w:hAnsi="Calibri" w:cs="Calibri"/>
                <w:color w:val="000000" w:themeColor="text1"/>
                <w:sz w:val="24"/>
                <w:szCs w:val="24"/>
              </w:rPr>
              <w:t>e will be undertaking some engagement work and seeking feedback on these principles and criteria in the early autumn.</w:t>
            </w:r>
          </w:p>
          <w:p w14:paraId="0CBDC1EA" w14:textId="77777777" w:rsidR="007D25F6" w:rsidRDefault="008A44DC" w:rsidP="008A44DC">
            <w:pPr>
              <w:spacing w:before="40" w:after="40" w:line="240" w:lineRule="atLeast"/>
              <w:jc w:val="both"/>
              <w:rPr>
                <w:rFonts w:ascii="Calibri" w:hAnsi="Calibri" w:cs="Calibri"/>
                <w:color w:val="000000" w:themeColor="text1"/>
                <w:sz w:val="24"/>
                <w:szCs w:val="24"/>
              </w:rPr>
            </w:pPr>
            <w:r>
              <w:rPr>
                <w:rFonts w:ascii="Calibri" w:hAnsi="Calibri" w:cs="Calibri"/>
                <w:color w:val="000000" w:themeColor="text1"/>
                <w:sz w:val="24"/>
                <w:szCs w:val="24"/>
              </w:rPr>
              <w:t xml:space="preserve">In the meantime, we have </w:t>
            </w:r>
            <w:r w:rsidR="007D25F6">
              <w:rPr>
                <w:rFonts w:ascii="Calibri" w:hAnsi="Calibri" w:cs="Calibri"/>
                <w:color w:val="000000" w:themeColor="text1"/>
                <w:sz w:val="24"/>
                <w:szCs w:val="24"/>
              </w:rPr>
              <w:t>continued discussions with our</w:t>
            </w:r>
            <w:r>
              <w:rPr>
                <w:rFonts w:ascii="Calibri" w:hAnsi="Calibri" w:cs="Calibri"/>
                <w:color w:val="000000" w:themeColor="text1"/>
                <w:sz w:val="24"/>
                <w:szCs w:val="24"/>
              </w:rPr>
              <w:t xml:space="preserve"> counterparts in Australia and New Zealand, and in the USA </w:t>
            </w:r>
            <w:r w:rsidR="007D25F6">
              <w:rPr>
                <w:rFonts w:ascii="Calibri" w:hAnsi="Calibri" w:cs="Calibri"/>
                <w:color w:val="000000" w:themeColor="text1"/>
                <w:sz w:val="24"/>
                <w:szCs w:val="24"/>
              </w:rPr>
              <w:t xml:space="preserve">regarding </w:t>
            </w:r>
            <w:r>
              <w:rPr>
                <w:rFonts w:ascii="Calibri" w:hAnsi="Calibri" w:cs="Calibri"/>
                <w:color w:val="000000" w:themeColor="text1"/>
                <w:sz w:val="24"/>
                <w:szCs w:val="24"/>
              </w:rPr>
              <w:t xml:space="preserve">the development of potential mutual recognition agreements.  We have also </w:t>
            </w:r>
            <w:r w:rsidR="0063477D">
              <w:rPr>
                <w:rFonts w:ascii="Calibri" w:hAnsi="Calibri" w:cs="Calibri"/>
                <w:color w:val="000000" w:themeColor="text1"/>
                <w:sz w:val="24"/>
                <w:szCs w:val="24"/>
              </w:rPr>
              <w:t xml:space="preserve">in dialogue with the Architects Council of Europe </w:t>
            </w:r>
            <w:r w:rsidR="007D25F6">
              <w:rPr>
                <w:rFonts w:ascii="Calibri" w:hAnsi="Calibri" w:cs="Calibri"/>
                <w:color w:val="000000" w:themeColor="text1"/>
                <w:sz w:val="24"/>
                <w:szCs w:val="24"/>
              </w:rPr>
              <w:t>and are seeking to develop</w:t>
            </w:r>
            <w:r w:rsidR="0063477D">
              <w:rPr>
                <w:rFonts w:ascii="Calibri" w:hAnsi="Calibri" w:cs="Calibri"/>
                <w:color w:val="000000" w:themeColor="text1"/>
                <w:sz w:val="24"/>
                <w:szCs w:val="24"/>
              </w:rPr>
              <w:t xml:space="preserve"> a new mutual recognition agreement with our European partners under the framework of the UK/EU Trade and Cooperation Agreement.</w:t>
            </w:r>
            <w:r w:rsidR="007D25F6">
              <w:rPr>
                <w:rFonts w:ascii="Calibri" w:hAnsi="Calibri" w:cs="Calibri"/>
                <w:color w:val="000000" w:themeColor="text1"/>
                <w:sz w:val="24"/>
                <w:szCs w:val="24"/>
              </w:rPr>
              <w:t xml:space="preserve">  </w:t>
            </w:r>
          </w:p>
          <w:p w14:paraId="3E2ACA36" w14:textId="77777777" w:rsidR="008E23BE" w:rsidRDefault="008E23BE" w:rsidP="00824E53">
            <w:pPr>
              <w:spacing w:before="40" w:after="40" w:line="240" w:lineRule="atLeast"/>
              <w:jc w:val="both"/>
              <w:rPr>
                <w:rFonts w:ascii="Calibri" w:hAnsi="Calibri" w:cs="Calibri"/>
                <w:b/>
                <w:color w:val="548DD4"/>
                <w:sz w:val="24"/>
                <w:szCs w:val="24"/>
              </w:rPr>
            </w:pPr>
          </w:p>
        </w:tc>
      </w:tr>
      <w:tr w:rsidR="008E23BE" w:rsidRPr="000273C9" w14:paraId="23A67865" w14:textId="77777777" w:rsidTr="008E23BE">
        <w:trPr>
          <w:trHeight w:val="389"/>
        </w:trPr>
        <w:tc>
          <w:tcPr>
            <w:tcW w:w="534" w:type="dxa"/>
            <w:shd w:val="clear" w:color="auto" w:fill="auto"/>
          </w:tcPr>
          <w:p w14:paraId="3C085C54" w14:textId="77777777" w:rsidR="008E23BE" w:rsidRDefault="008E23BE" w:rsidP="00161481">
            <w:pPr>
              <w:spacing w:before="40" w:after="40" w:line="240" w:lineRule="atLeast"/>
              <w:rPr>
                <w:rFonts w:ascii="Calibri" w:hAnsi="Calibri" w:cs="Calibri"/>
                <w:b/>
                <w:color w:val="4F81BD"/>
                <w:sz w:val="24"/>
                <w:szCs w:val="24"/>
              </w:rPr>
            </w:pPr>
          </w:p>
        </w:tc>
        <w:tc>
          <w:tcPr>
            <w:tcW w:w="850" w:type="dxa"/>
            <w:shd w:val="clear" w:color="auto" w:fill="auto"/>
          </w:tcPr>
          <w:p w14:paraId="27CACC8C" w14:textId="075727EF" w:rsidR="008E23BE" w:rsidRDefault="008E23BE" w:rsidP="008E23BE">
            <w:pPr>
              <w:spacing w:before="40" w:after="40" w:line="240" w:lineRule="atLeast"/>
              <w:jc w:val="right"/>
              <w:rPr>
                <w:rFonts w:ascii="Calibri" w:hAnsi="Calibri" w:cs="Calibri"/>
                <w:b/>
                <w:color w:val="548DD4"/>
                <w:sz w:val="24"/>
                <w:szCs w:val="24"/>
              </w:rPr>
            </w:pPr>
          </w:p>
        </w:tc>
        <w:tc>
          <w:tcPr>
            <w:tcW w:w="8505" w:type="dxa"/>
            <w:gridSpan w:val="2"/>
            <w:shd w:val="clear" w:color="auto" w:fill="auto"/>
          </w:tcPr>
          <w:p w14:paraId="64306CD5" w14:textId="77777777" w:rsidR="008E23BE" w:rsidRPr="008E23BE" w:rsidRDefault="008E23BE" w:rsidP="008E23BE">
            <w:pPr>
              <w:spacing w:before="40" w:after="40" w:line="240" w:lineRule="atLeast"/>
              <w:jc w:val="both"/>
              <w:rPr>
                <w:rFonts w:ascii="Calibri" w:hAnsi="Calibri" w:cs="Calibri"/>
                <w:b/>
                <w:sz w:val="24"/>
                <w:szCs w:val="24"/>
                <w:u w:val="single"/>
              </w:rPr>
            </w:pPr>
            <w:r w:rsidRPr="008E23BE">
              <w:rPr>
                <w:rFonts w:ascii="Calibri" w:hAnsi="Calibri" w:cs="Calibri"/>
                <w:b/>
                <w:sz w:val="24"/>
                <w:szCs w:val="24"/>
                <w:u w:val="single"/>
              </w:rPr>
              <w:t>Prescription</w:t>
            </w:r>
          </w:p>
          <w:p w14:paraId="11A5B2E4" w14:textId="4EF85894" w:rsidR="00B04329" w:rsidRDefault="00424931" w:rsidP="009E1214">
            <w:pPr>
              <w:spacing w:before="40" w:after="40" w:line="240" w:lineRule="atLeast"/>
              <w:jc w:val="both"/>
              <w:rPr>
                <w:rFonts w:ascii="Calibri" w:hAnsi="Calibri" w:cs="Calibri"/>
                <w:color w:val="000000" w:themeColor="text1"/>
                <w:sz w:val="24"/>
                <w:szCs w:val="24"/>
              </w:rPr>
            </w:pPr>
            <w:r>
              <w:rPr>
                <w:rFonts w:ascii="Calibri" w:hAnsi="Calibri" w:cs="Calibri"/>
                <w:color w:val="000000" w:themeColor="text1"/>
                <w:sz w:val="24"/>
                <w:szCs w:val="24"/>
              </w:rPr>
              <w:t xml:space="preserve">We continue to operate the existing procedures, as agreed </w:t>
            </w:r>
            <w:r w:rsidR="00B04329">
              <w:rPr>
                <w:rFonts w:ascii="Calibri" w:hAnsi="Calibri" w:cs="Calibri"/>
                <w:color w:val="000000" w:themeColor="text1"/>
                <w:sz w:val="24"/>
                <w:szCs w:val="24"/>
              </w:rPr>
              <w:t xml:space="preserve">at the Board Development Day in March.  With the Chair of the Prescription Committee, we have structured the </w:t>
            </w:r>
            <w:proofErr w:type="gramStart"/>
            <w:r w:rsidR="00B04329">
              <w:rPr>
                <w:rFonts w:ascii="Calibri" w:hAnsi="Calibri" w:cs="Calibri"/>
                <w:color w:val="000000" w:themeColor="text1"/>
                <w:sz w:val="24"/>
                <w:szCs w:val="24"/>
              </w:rPr>
              <w:t>meetings</w:t>
            </w:r>
            <w:proofErr w:type="gramEnd"/>
            <w:r w:rsidR="00B04329">
              <w:rPr>
                <w:rFonts w:ascii="Calibri" w:hAnsi="Calibri" w:cs="Calibri"/>
                <w:color w:val="000000" w:themeColor="text1"/>
                <w:sz w:val="24"/>
                <w:szCs w:val="24"/>
              </w:rPr>
              <w:t xml:space="preserve"> so we have time to clearly summarise the Committee’s advice to the Executive, and this now features in the introductory section of the Board paper, along with any other significant considerations for the Board.</w:t>
            </w:r>
          </w:p>
          <w:p w14:paraId="402CC2A8" w14:textId="08A0DA12" w:rsidR="00A7199D" w:rsidRDefault="00D859A6" w:rsidP="009E1214">
            <w:pPr>
              <w:spacing w:before="40" w:after="40" w:line="240" w:lineRule="atLeast"/>
              <w:jc w:val="both"/>
              <w:rPr>
                <w:rFonts w:ascii="Calibri" w:hAnsi="Calibri" w:cs="Calibri"/>
                <w:color w:val="000000" w:themeColor="text1"/>
                <w:sz w:val="24"/>
                <w:szCs w:val="24"/>
              </w:rPr>
            </w:pPr>
            <w:r>
              <w:rPr>
                <w:rFonts w:ascii="Calibri" w:hAnsi="Calibri" w:cs="Calibri"/>
                <w:color w:val="000000" w:themeColor="text1"/>
                <w:sz w:val="24"/>
                <w:szCs w:val="24"/>
              </w:rPr>
              <w:t>To manage the high volumes of annual monitoring and covid responses, we have piloted an approach of grouping the papers by risk and significance of changes or compliance.  A separate paper is still produced for each institution, but the Executive introduce the detail of exceptions (good practice, or concerns) only, and the Chair focuses the Committee on those in the meeting.  This is working well after two meetings, but we continue to evaluate.</w:t>
            </w:r>
          </w:p>
          <w:p w14:paraId="00A47E2E" w14:textId="632FC70C" w:rsidR="00B04329" w:rsidRDefault="00B04329" w:rsidP="009E1214">
            <w:pPr>
              <w:spacing w:before="40" w:after="40" w:line="240" w:lineRule="atLeast"/>
              <w:jc w:val="both"/>
              <w:rPr>
                <w:rFonts w:ascii="Calibri" w:hAnsi="Calibri" w:cs="Calibri"/>
                <w:color w:val="000000" w:themeColor="text1"/>
                <w:sz w:val="24"/>
                <w:szCs w:val="24"/>
              </w:rPr>
            </w:pPr>
            <w:r>
              <w:rPr>
                <w:rFonts w:ascii="Calibri" w:hAnsi="Calibri" w:cs="Calibri"/>
                <w:color w:val="000000" w:themeColor="text1"/>
                <w:sz w:val="24"/>
                <w:szCs w:val="24"/>
              </w:rPr>
              <w:t xml:space="preserve">We have commenced the review of the advice to </w:t>
            </w:r>
            <w:proofErr w:type="gramStart"/>
            <w:r>
              <w:rPr>
                <w:rFonts w:ascii="Calibri" w:hAnsi="Calibri" w:cs="Calibri"/>
                <w:color w:val="000000" w:themeColor="text1"/>
                <w:sz w:val="24"/>
                <w:szCs w:val="24"/>
              </w:rPr>
              <w:t>institutions, and</w:t>
            </w:r>
            <w:proofErr w:type="gramEnd"/>
            <w:r>
              <w:rPr>
                <w:rFonts w:ascii="Calibri" w:hAnsi="Calibri" w:cs="Calibri"/>
                <w:color w:val="000000" w:themeColor="text1"/>
                <w:sz w:val="24"/>
                <w:szCs w:val="24"/>
              </w:rPr>
              <w:t xml:space="preserve"> will develop this through May and June.  We have a new Qualifications Executive who has started, and so additional capacity in the team to help deliver and test this.</w:t>
            </w:r>
          </w:p>
          <w:p w14:paraId="3AF4097A" w14:textId="3F1C594C" w:rsidR="006326CB" w:rsidRDefault="006326CB" w:rsidP="009E1214">
            <w:pPr>
              <w:spacing w:before="40" w:after="40" w:line="240" w:lineRule="atLeast"/>
              <w:jc w:val="both"/>
              <w:rPr>
                <w:rFonts w:ascii="Calibri" w:hAnsi="Calibri" w:cs="Calibri"/>
                <w:color w:val="000000" w:themeColor="text1"/>
                <w:sz w:val="24"/>
                <w:szCs w:val="24"/>
              </w:rPr>
            </w:pPr>
          </w:p>
          <w:p w14:paraId="3D9A997E" w14:textId="77777777" w:rsidR="006326CB" w:rsidRPr="00EE7D26" w:rsidRDefault="006326CB" w:rsidP="009E1214">
            <w:pPr>
              <w:spacing w:before="40" w:after="40" w:line="240" w:lineRule="atLeast"/>
              <w:jc w:val="both"/>
              <w:rPr>
                <w:rFonts w:ascii="Calibri" w:hAnsi="Calibri" w:cs="Calibri"/>
                <w:color w:val="000000" w:themeColor="text1"/>
                <w:sz w:val="24"/>
                <w:szCs w:val="24"/>
              </w:rPr>
            </w:pPr>
          </w:p>
          <w:p w14:paraId="2A15DC05" w14:textId="544B1F45" w:rsidR="00E426C2" w:rsidRDefault="00E426C2" w:rsidP="00775E61">
            <w:pPr>
              <w:spacing w:before="40" w:after="40" w:line="240" w:lineRule="atLeast"/>
              <w:jc w:val="both"/>
              <w:rPr>
                <w:rFonts w:ascii="Calibri" w:hAnsi="Calibri" w:cs="Calibri"/>
                <w:b/>
                <w:color w:val="548DD4"/>
                <w:sz w:val="24"/>
                <w:szCs w:val="24"/>
              </w:rPr>
            </w:pPr>
          </w:p>
        </w:tc>
      </w:tr>
      <w:tr w:rsidR="008E23BE" w:rsidRPr="000273C9" w14:paraId="00044CAC" w14:textId="77777777" w:rsidTr="008E23BE">
        <w:trPr>
          <w:trHeight w:val="389"/>
        </w:trPr>
        <w:tc>
          <w:tcPr>
            <w:tcW w:w="534" w:type="dxa"/>
            <w:shd w:val="clear" w:color="auto" w:fill="auto"/>
          </w:tcPr>
          <w:p w14:paraId="6ED91C8A" w14:textId="77777777" w:rsidR="008E23BE" w:rsidRDefault="008E23BE" w:rsidP="00161481">
            <w:pPr>
              <w:spacing w:before="40" w:after="40" w:line="240" w:lineRule="atLeast"/>
              <w:rPr>
                <w:rFonts w:ascii="Calibri" w:hAnsi="Calibri" w:cs="Calibri"/>
                <w:b/>
                <w:color w:val="4F81BD"/>
                <w:sz w:val="24"/>
                <w:szCs w:val="24"/>
              </w:rPr>
            </w:pPr>
          </w:p>
        </w:tc>
        <w:tc>
          <w:tcPr>
            <w:tcW w:w="850" w:type="dxa"/>
            <w:shd w:val="clear" w:color="auto" w:fill="auto"/>
          </w:tcPr>
          <w:p w14:paraId="1A28CF19" w14:textId="56A45B80" w:rsidR="008E23BE" w:rsidRDefault="008E23BE" w:rsidP="008E23BE">
            <w:pPr>
              <w:spacing w:before="40" w:after="40" w:line="240" w:lineRule="atLeast"/>
              <w:jc w:val="right"/>
              <w:rPr>
                <w:rFonts w:ascii="Calibri" w:hAnsi="Calibri" w:cs="Calibri"/>
                <w:b/>
                <w:color w:val="548DD4"/>
                <w:sz w:val="24"/>
                <w:szCs w:val="24"/>
              </w:rPr>
            </w:pPr>
          </w:p>
        </w:tc>
        <w:tc>
          <w:tcPr>
            <w:tcW w:w="8505" w:type="dxa"/>
            <w:gridSpan w:val="2"/>
            <w:shd w:val="clear" w:color="auto" w:fill="auto"/>
          </w:tcPr>
          <w:p w14:paraId="5D8C2D30" w14:textId="50A13A6C" w:rsidR="008E23BE" w:rsidRPr="00E426C2" w:rsidRDefault="008E23BE" w:rsidP="00775E61">
            <w:pPr>
              <w:spacing w:before="40" w:after="40" w:line="240" w:lineRule="atLeast"/>
              <w:jc w:val="both"/>
              <w:rPr>
                <w:rFonts w:ascii="Calibri" w:hAnsi="Calibri" w:cs="Calibri"/>
                <w:b/>
                <w:sz w:val="24"/>
                <w:szCs w:val="24"/>
                <w:u w:val="single"/>
              </w:rPr>
            </w:pPr>
            <w:r w:rsidRPr="008E23BE">
              <w:rPr>
                <w:rFonts w:ascii="Calibri" w:hAnsi="Calibri" w:cs="Calibri"/>
                <w:b/>
                <w:sz w:val="24"/>
                <w:szCs w:val="24"/>
                <w:u w:val="single"/>
              </w:rPr>
              <w:t>Professional Conduct Review</w:t>
            </w:r>
          </w:p>
          <w:p w14:paraId="5161E7B1" w14:textId="2C5DD150" w:rsidR="008E23BE" w:rsidRDefault="00523353" w:rsidP="00775E61">
            <w:pPr>
              <w:spacing w:before="40" w:after="40" w:line="240" w:lineRule="atLeast"/>
              <w:jc w:val="both"/>
              <w:rPr>
                <w:rFonts w:ascii="Calibri" w:hAnsi="Calibri" w:cs="Calibri"/>
                <w:bCs/>
                <w:sz w:val="24"/>
                <w:szCs w:val="24"/>
              </w:rPr>
            </w:pPr>
            <w:r>
              <w:rPr>
                <w:rFonts w:ascii="Calibri" w:hAnsi="Calibri" w:cs="Calibri"/>
                <w:bCs/>
                <w:sz w:val="24"/>
                <w:szCs w:val="24"/>
              </w:rPr>
              <w:t xml:space="preserve">We have prepared the first draft of the new Investigations &amp; Professional Conduct Committee Rules, which will be ready for Board consideration </w:t>
            </w:r>
            <w:r w:rsidR="00AC6E50">
              <w:rPr>
                <w:rFonts w:ascii="Calibri" w:hAnsi="Calibri" w:cs="Calibri"/>
                <w:bCs/>
                <w:sz w:val="24"/>
                <w:szCs w:val="24"/>
              </w:rPr>
              <w:t>in September</w:t>
            </w:r>
            <w:r>
              <w:rPr>
                <w:rFonts w:ascii="Calibri" w:hAnsi="Calibri" w:cs="Calibri"/>
                <w:bCs/>
                <w:sz w:val="24"/>
                <w:szCs w:val="24"/>
              </w:rPr>
              <w:t xml:space="preserve">, and publication by the </w:t>
            </w:r>
            <w:r w:rsidR="00AC6E50">
              <w:rPr>
                <w:rFonts w:ascii="Calibri" w:hAnsi="Calibri" w:cs="Calibri"/>
                <w:bCs/>
                <w:sz w:val="24"/>
                <w:szCs w:val="24"/>
              </w:rPr>
              <w:t>start of 2022</w:t>
            </w:r>
            <w:r>
              <w:rPr>
                <w:rFonts w:ascii="Calibri" w:hAnsi="Calibri" w:cs="Calibri"/>
                <w:bCs/>
                <w:sz w:val="24"/>
                <w:szCs w:val="24"/>
              </w:rPr>
              <w:t xml:space="preserve"> after a period of consultation.</w:t>
            </w:r>
          </w:p>
          <w:p w14:paraId="2905244C" w14:textId="252050AB" w:rsidR="00523353" w:rsidRDefault="00523353" w:rsidP="00775E61">
            <w:pPr>
              <w:spacing w:before="40" w:after="40" w:line="240" w:lineRule="atLeast"/>
              <w:jc w:val="both"/>
              <w:rPr>
                <w:rFonts w:ascii="Calibri" w:hAnsi="Calibri" w:cs="Calibri"/>
                <w:bCs/>
                <w:sz w:val="24"/>
                <w:szCs w:val="24"/>
              </w:rPr>
            </w:pPr>
            <w:r>
              <w:rPr>
                <w:rFonts w:ascii="Calibri" w:hAnsi="Calibri" w:cs="Calibri"/>
                <w:bCs/>
                <w:sz w:val="24"/>
                <w:szCs w:val="24"/>
              </w:rPr>
              <w:t xml:space="preserve">The remaining recommendations within the review, </w:t>
            </w:r>
            <w:r w:rsidR="00AC6E50">
              <w:rPr>
                <w:rFonts w:ascii="Calibri" w:hAnsi="Calibri" w:cs="Calibri"/>
                <w:bCs/>
                <w:sz w:val="24"/>
                <w:szCs w:val="24"/>
              </w:rPr>
              <w:t xml:space="preserve">including the establishment of a new Quality Assurance framework and the </w:t>
            </w:r>
            <w:r>
              <w:rPr>
                <w:rFonts w:ascii="Calibri" w:hAnsi="Calibri" w:cs="Calibri"/>
                <w:bCs/>
                <w:sz w:val="24"/>
                <w:szCs w:val="24"/>
              </w:rPr>
              <w:t xml:space="preserve">modernisation of existing guidance, </w:t>
            </w:r>
            <w:r w:rsidR="00AC6E50">
              <w:rPr>
                <w:rFonts w:ascii="Calibri" w:hAnsi="Calibri" w:cs="Calibri"/>
                <w:bCs/>
                <w:sz w:val="24"/>
                <w:szCs w:val="24"/>
              </w:rPr>
              <w:t xml:space="preserve">will be discussed by the Policy Committee at its July meeting, and </w:t>
            </w:r>
            <w:r>
              <w:rPr>
                <w:rFonts w:ascii="Calibri" w:hAnsi="Calibri" w:cs="Calibri"/>
                <w:bCs/>
                <w:sz w:val="24"/>
                <w:szCs w:val="24"/>
              </w:rPr>
              <w:t>remain on course for delivery by the end of the year, as set out in the 2021 Business Plan.</w:t>
            </w:r>
          </w:p>
          <w:p w14:paraId="2A9DBA64" w14:textId="38B8EA66" w:rsidR="00523353" w:rsidRPr="00523353" w:rsidRDefault="00523353" w:rsidP="00775E61">
            <w:pPr>
              <w:spacing w:before="40" w:after="40" w:line="240" w:lineRule="atLeast"/>
              <w:jc w:val="both"/>
              <w:rPr>
                <w:rFonts w:ascii="Calibri" w:hAnsi="Calibri" w:cs="Calibri"/>
                <w:bCs/>
                <w:sz w:val="24"/>
                <w:szCs w:val="24"/>
              </w:rPr>
            </w:pPr>
          </w:p>
        </w:tc>
      </w:tr>
      <w:tr w:rsidR="008E23BE" w:rsidRPr="000273C9" w14:paraId="4BFB244F" w14:textId="77777777" w:rsidTr="008E23BE">
        <w:trPr>
          <w:trHeight w:val="389"/>
        </w:trPr>
        <w:tc>
          <w:tcPr>
            <w:tcW w:w="534" w:type="dxa"/>
            <w:shd w:val="clear" w:color="auto" w:fill="auto"/>
          </w:tcPr>
          <w:p w14:paraId="0E35AE76" w14:textId="77777777" w:rsidR="008E23BE" w:rsidRDefault="008E23BE" w:rsidP="00161481">
            <w:pPr>
              <w:spacing w:before="40" w:after="40" w:line="240" w:lineRule="atLeast"/>
              <w:rPr>
                <w:rFonts w:ascii="Calibri" w:hAnsi="Calibri" w:cs="Calibri"/>
                <w:b/>
                <w:color w:val="4F81BD"/>
                <w:sz w:val="24"/>
                <w:szCs w:val="24"/>
              </w:rPr>
            </w:pPr>
          </w:p>
        </w:tc>
        <w:tc>
          <w:tcPr>
            <w:tcW w:w="850" w:type="dxa"/>
            <w:shd w:val="clear" w:color="auto" w:fill="auto"/>
          </w:tcPr>
          <w:p w14:paraId="4537ACC9" w14:textId="2335C92C" w:rsidR="008E23BE" w:rsidRDefault="008E23BE" w:rsidP="008E23BE">
            <w:pPr>
              <w:spacing w:before="40" w:after="40" w:line="240" w:lineRule="atLeast"/>
              <w:jc w:val="right"/>
              <w:rPr>
                <w:rFonts w:ascii="Calibri" w:hAnsi="Calibri" w:cs="Calibri"/>
                <w:b/>
                <w:sz w:val="24"/>
                <w:szCs w:val="24"/>
              </w:rPr>
            </w:pPr>
          </w:p>
          <w:p w14:paraId="23909379" w14:textId="77777777" w:rsidR="00E426C2" w:rsidRPr="00E426C2" w:rsidRDefault="00E426C2" w:rsidP="00E426C2">
            <w:pPr>
              <w:rPr>
                <w:rFonts w:ascii="Calibri" w:hAnsi="Calibri" w:cs="Calibri"/>
                <w:sz w:val="24"/>
                <w:szCs w:val="24"/>
              </w:rPr>
            </w:pPr>
          </w:p>
          <w:p w14:paraId="60A2ACDB" w14:textId="77777777" w:rsidR="00E426C2" w:rsidRPr="00E426C2" w:rsidRDefault="00E426C2" w:rsidP="00E426C2">
            <w:pPr>
              <w:rPr>
                <w:rFonts w:ascii="Calibri" w:hAnsi="Calibri" w:cs="Calibri"/>
                <w:sz w:val="24"/>
                <w:szCs w:val="24"/>
              </w:rPr>
            </w:pPr>
          </w:p>
          <w:p w14:paraId="0F543F86" w14:textId="77777777" w:rsidR="00E426C2" w:rsidRPr="00E426C2" w:rsidRDefault="00E426C2" w:rsidP="00E426C2">
            <w:pPr>
              <w:rPr>
                <w:rFonts w:ascii="Calibri" w:hAnsi="Calibri" w:cs="Calibri"/>
                <w:sz w:val="24"/>
                <w:szCs w:val="24"/>
              </w:rPr>
            </w:pPr>
          </w:p>
          <w:p w14:paraId="0F5CBA54" w14:textId="77777777" w:rsidR="00E426C2" w:rsidRPr="00E426C2" w:rsidRDefault="00E426C2" w:rsidP="00E426C2">
            <w:pPr>
              <w:rPr>
                <w:rFonts w:ascii="Calibri" w:hAnsi="Calibri" w:cs="Calibri"/>
                <w:sz w:val="24"/>
                <w:szCs w:val="24"/>
              </w:rPr>
            </w:pPr>
          </w:p>
          <w:p w14:paraId="00A5E1F3" w14:textId="77777777" w:rsidR="00E426C2" w:rsidRPr="00E426C2" w:rsidRDefault="00E426C2" w:rsidP="00E426C2">
            <w:pPr>
              <w:rPr>
                <w:rFonts w:ascii="Calibri" w:hAnsi="Calibri" w:cs="Calibri"/>
                <w:sz w:val="24"/>
                <w:szCs w:val="24"/>
              </w:rPr>
            </w:pPr>
          </w:p>
          <w:p w14:paraId="1BF80ED4" w14:textId="77777777" w:rsidR="00E426C2" w:rsidRPr="00E426C2" w:rsidRDefault="00E426C2" w:rsidP="00E426C2">
            <w:pPr>
              <w:rPr>
                <w:rFonts w:ascii="Calibri" w:hAnsi="Calibri" w:cs="Calibri"/>
                <w:sz w:val="24"/>
                <w:szCs w:val="24"/>
              </w:rPr>
            </w:pPr>
          </w:p>
          <w:p w14:paraId="1E97C4CB" w14:textId="77777777" w:rsidR="00E426C2" w:rsidRPr="00E426C2" w:rsidRDefault="00E426C2" w:rsidP="00E426C2">
            <w:pPr>
              <w:rPr>
                <w:rFonts w:ascii="Calibri" w:hAnsi="Calibri" w:cs="Calibri"/>
                <w:sz w:val="24"/>
                <w:szCs w:val="24"/>
              </w:rPr>
            </w:pPr>
          </w:p>
          <w:p w14:paraId="2DE8BB5D" w14:textId="77777777" w:rsidR="00E426C2" w:rsidRDefault="00E426C2" w:rsidP="00E426C2">
            <w:pPr>
              <w:rPr>
                <w:rFonts w:ascii="Calibri" w:hAnsi="Calibri" w:cs="Calibri"/>
                <w:b/>
                <w:sz w:val="24"/>
                <w:szCs w:val="24"/>
              </w:rPr>
            </w:pPr>
          </w:p>
          <w:p w14:paraId="3C7293FF" w14:textId="5905AD5F" w:rsidR="00E426C2" w:rsidRPr="00E426C2" w:rsidRDefault="00E426C2" w:rsidP="00E426C2">
            <w:pPr>
              <w:rPr>
                <w:rFonts w:ascii="Calibri" w:hAnsi="Calibri" w:cs="Calibri"/>
                <w:sz w:val="24"/>
                <w:szCs w:val="24"/>
              </w:rPr>
            </w:pPr>
          </w:p>
        </w:tc>
        <w:tc>
          <w:tcPr>
            <w:tcW w:w="8505" w:type="dxa"/>
            <w:gridSpan w:val="2"/>
            <w:shd w:val="clear" w:color="auto" w:fill="auto"/>
          </w:tcPr>
          <w:p w14:paraId="7176DEFA" w14:textId="2CF5CACB" w:rsidR="00AC6E50" w:rsidRDefault="00AC6E50" w:rsidP="009E1214">
            <w:pPr>
              <w:spacing w:before="40" w:after="40" w:line="240" w:lineRule="atLeast"/>
              <w:jc w:val="both"/>
              <w:rPr>
                <w:rFonts w:ascii="Calibri" w:hAnsi="Calibri" w:cs="Calibri"/>
                <w:b/>
                <w:bCs/>
                <w:sz w:val="24"/>
                <w:szCs w:val="24"/>
                <w:u w:val="single"/>
              </w:rPr>
            </w:pPr>
            <w:r>
              <w:rPr>
                <w:rFonts w:ascii="Calibri" w:hAnsi="Calibri" w:cs="Calibri"/>
                <w:b/>
                <w:bCs/>
                <w:sz w:val="24"/>
                <w:szCs w:val="24"/>
                <w:u w:val="single"/>
              </w:rPr>
              <w:t>Continuing Professional Development (CPD) scheme</w:t>
            </w:r>
          </w:p>
          <w:p w14:paraId="70816C61" w14:textId="6C719DEB" w:rsidR="00AC6E50" w:rsidRDefault="00AC6E50" w:rsidP="009E1214">
            <w:pPr>
              <w:spacing w:before="40" w:after="40" w:line="240" w:lineRule="atLeast"/>
              <w:jc w:val="both"/>
              <w:rPr>
                <w:rFonts w:ascii="Calibri" w:hAnsi="Calibri" w:cs="Calibri"/>
                <w:b/>
                <w:bCs/>
                <w:sz w:val="24"/>
                <w:szCs w:val="24"/>
                <w:u w:val="single"/>
              </w:rPr>
            </w:pPr>
          </w:p>
          <w:p w14:paraId="6A342DDC" w14:textId="77777777" w:rsidR="00910996" w:rsidRDefault="00AC6E50" w:rsidP="009E1214">
            <w:pPr>
              <w:spacing w:before="40" w:after="40" w:line="240" w:lineRule="atLeast"/>
              <w:jc w:val="both"/>
              <w:rPr>
                <w:rFonts w:ascii="Calibri" w:hAnsi="Calibri" w:cs="Calibri"/>
                <w:sz w:val="24"/>
                <w:szCs w:val="24"/>
              </w:rPr>
            </w:pPr>
            <w:r>
              <w:rPr>
                <w:rFonts w:ascii="Calibri" w:hAnsi="Calibri" w:cs="Calibri"/>
                <w:sz w:val="24"/>
                <w:szCs w:val="24"/>
              </w:rPr>
              <w:t xml:space="preserve">The awaited Building Safety Bill was laid in Parliament on </w:t>
            </w:r>
            <w:r w:rsidR="00910996">
              <w:rPr>
                <w:rFonts w:ascii="Calibri" w:hAnsi="Calibri" w:cs="Calibri"/>
                <w:sz w:val="24"/>
                <w:szCs w:val="24"/>
              </w:rPr>
              <w:t>5 July</w:t>
            </w:r>
            <w:r>
              <w:rPr>
                <w:rFonts w:ascii="Calibri" w:hAnsi="Calibri" w:cs="Calibri"/>
                <w:sz w:val="24"/>
                <w:szCs w:val="24"/>
              </w:rPr>
              <w:t xml:space="preserve"> which will </w:t>
            </w:r>
            <w:r w:rsidR="00910996">
              <w:rPr>
                <w:rFonts w:ascii="Calibri" w:hAnsi="Calibri" w:cs="Calibri"/>
                <w:sz w:val="24"/>
                <w:szCs w:val="24"/>
              </w:rPr>
              <w:t>(</w:t>
            </w:r>
            <w:proofErr w:type="gramStart"/>
            <w:r w:rsidR="00910996">
              <w:rPr>
                <w:rFonts w:ascii="Calibri" w:hAnsi="Calibri" w:cs="Calibri"/>
                <w:sz w:val="24"/>
                <w:szCs w:val="24"/>
              </w:rPr>
              <w:t>if and when</w:t>
            </w:r>
            <w:proofErr w:type="gramEnd"/>
            <w:r w:rsidR="00910996">
              <w:rPr>
                <w:rFonts w:ascii="Calibri" w:hAnsi="Calibri" w:cs="Calibri"/>
                <w:sz w:val="24"/>
                <w:szCs w:val="24"/>
              </w:rPr>
              <w:t xml:space="preserve"> it becomes law) </w:t>
            </w:r>
            <w:r>
              <w:rPr>
                <w:rFonts w:ascii="Calibri" w:hAnsi="Calibri" w:cs="Calibri"/>
                <w:sz w:val="24"/>
                <w:szCs w:val="24"/>
              </w:rPr>
              <w:t xml:space="preserve">provide ARB with the statutory power to set CPD requirements as a condition of registration. </w:t>
            </w:r>
          </w:p>
          <w:p w14:paraId="48FBA7D7" w14:textId="77777777" w:rsidR="00910996" w:rsidRDefault="00910996" w:rsidP="009E1214">
            <w:pPr>
              <w:spacing w:before="40" w:after="40" w:line="240" w:lineRule="atLeast"/>
              <w:jc w:val="both"/>
              <w:rPr>
                <w:rFonts w:ascii="Calibri" w:hAnsi="Calibri" w:cs="Calibri"/>
                <w:sz w:val="24"/>
                <w:szCs w:val="24"/>
              </w:rPr>
            </w:pPr>
          </w:p>
          <w:p w14:paraId="5DC427D8" w14:textId="4DED0397" w:rsidR="00AC6E50" w:rsidRPr="00AC6E50" w:rsidRDefault="00AC6E50" w:rsidP="009E1214">
            <w:pPr>
              <w:spacing w:before="40" w:after="40" w:line="240" w:lineRule="atLeast"/>
              <w:jc w:val="both"/>
              <w:rPr>
                <w:rFonts w:ascii="Calibri" w:hAnsi="Calibri" w:cs="Calibri"/>
                <w:sz w:val="24"/>
                <w:szCs w:val="24"/>
              </w:rPr>
            </w:pPr>
            <w:r>
              <w:rPr>
                <w:rFonts w:ascii="Calibri" w:hAnsi="Calibri" w:cs="Calibri"/>
                <w:sz w:val="24"/>
                <w:szCs w:val="24"/>
              </w:rPr>
              <w:t>The laying of the Bill will trigger a period of engagement and consultation with the profession and beyond, as we seek to design an effective and deliverable CPD scheme. We have prepared a discussion paper which explains the new legal powers, the research and engagement we have carried out to date, and the broad principles we think any scheme should try and follow</w:t>
            </w:r>
            <w:r w:rsidR="00910996">
              <w:rPr>
                <w:rFonts w:ascii="Calibri" w:hAnsi="Calibri" w:cs="Calibri"/>
                <w:sz w:val="24"/>
                <w:szCs w:val="24"/>
              </w:rPr>
              <w:t>. Those principles are</w:t>
            </w:r>
            <w:r>
              <w:rPr>
                <w:rFonts w:ascii="Calibri" w:hAnsi="Calibri" w:cs="Calibri"/>
                <w:sz w:val="24"/>
                <w:szCs w:val="24"/>
              </w:rPr>
              <w:t xml:space="preserve"> that </w:t>
            </w:r>
            <w:r w:rsidR="00910996">
              <w:rPr>
                <w:rFonts w:ascii="Calibri" w:hAnsi="Calibri" w:cs="Calibri"/>
                <w:sz w:val="24"/>
                <w:szCs w:val="24"/>
              </w:rPr>
              <w:t>a scheme</w:t>
            </w:r>
            <w:r>
              <w:rPr>
                <w:rFonts w:ascii="Calibri" w:hAnsi="Calibri" w:cs="Calibri"/>
                <w:sz w:val="24"/>
                <w:szCs w:val="24"/>
              </w:rPr>
              <w:t xml:space="preserve"> should improve the overall standard of competence in the profession, be driven by architect</w:t>
            </w:r>
            <w:r w:rsidR="00910996">
              <w:rPr>
                <w:rFonts w:ascii="Calibri" w:hAnsi="Calibri" w:cs="Calibri"/>
                <w:sz w:val="24"/>
                <w:szCs w:val="24"/>
              </w:rPr>
              <w:t>s’ individual development needs, not be overly bureaucratic, and avoid duplication with other schemes where possible.</w:t>
            </w:r>
            <w:r w:rsidR="00C219C0">
              <w:rPr>
                <w:rFonts w:ascii="Calibri" w:hAnsi="Calibri" w:cs="Calibri"/>
                <w:sz w:val="24"/>
                <w:szCs w:val="24"/>
              </w:rPr>
              <w:t xml:space="preserve"> We intend to publish the discussion paper within the next few weeks.</w:t>
            </w:r>
          </w:p>
          <w:p w14:paraId="7C95826C" w14:textId="77777777" w:rsidR="00AC6E50" w:rsidRDefault="00AC6E50" w:rsidP="009E1214">
            <w:pPr>
              <w:spacing w:before="40" w:after="40" w:line="240" w:lineRule="atLeast"/>
              <w:jc w:val="both"/>
              <w:rPr>
                <w:rFonts w:ascii="Calibri" w:hAnsi="Calibri" w:cs="Calibri"/>
                <w:b/>
                <w:bCs/>
                <w:sz w:val="24"/>
                <w:szCs w:val="24"/>
                <w:u w:val="single"/>
              </w:rPr>
            </w:pPr>
            <w:bookmarkStart w:id="1" w:name="_Hlk77248860"/>
          </w:p>
          <w:p w14:paraId="67942DF3" w14:textId="3027A945" w:rsidR="00E426C2" w:rsidRDefault="00E426C2" w:rsidP="009E1214">
            <w:pPr>
              <w:spacing w:before="40" w:after="40" w:line="240" w:lineRule="atLeast"/>
              <w:jc w:val="both"/>
              <w:rPr>
                <w:rFonts w:ascii="Calibri" w:hAnsi="Calibri" w:cs="Calibri"/>
                <w:b/>
                <w:bCs/>
                <w:sz w:val="24"/>
                <w:szCs w:val="24"/>
                <w:u w:val="single"/>
              </w:rPr>
            </w:pPr>
            <w:r>
              <w:rPr>
                <w:rFonts w:ascii="Calibri" w:hAnsi="Calibri" w:cs="Calibri"/>
                <w:b/>
                <w:bCs/>
                <w:sz w:val="24"/>
                <w:szCs w:val="24"/>
                <w:u w:val="single"/>
              </w:rPr>
              <w:t>IT Update</w:t>
            </w:r>
          </w:p>
          <w:p w14:paraId="6CB23479" w14:textId="77777777" w:rsidR="00EB7FA2" w:rsidRPr="00EB7FA2" w:rsidRDefault="00EB7FA2" w:rsidP="00EB7FA2">
            <w:pPr>
              <w:rPr>
                <w:rFonts w:ascii="Calibri" w:hAnsi="Calibri" w:cs="Calibri"/>
              </w:rPr>
            </w:pPr>
            <w:r w:rsidRPr="00EB7FA2">
              <w:rPr>
                <w:rFonts w:ascii="Calibri" w:hAnsi="Calibri" w:cs="Calibri"/>
                <w:sz w:val="24"/>
                <w:szCs w:val="24"/>
              </w:rPr>
              <w:t>We recognise the need for significant IT transformation and work continues in relation to the projects under way such as a move from windows 7 to windows 10 and improvements to cyber security.</w:t>
            </w:r>
          </w:p>
          <w:p w14:paraId="0B9407BD" w14:textId="77777777" w:rsidR="00EB7FA2" w:rsidRPr="00EB7FA2" w:rsidRDefault="00EB7FA2" w:rsidP="00EB7FA2">
            <w:pPr>
              <w:rPr>
                <w:rFonts w:ascii="Calibri" w:hAnsi="Calibri" w:cs="Calibri"/>
                <w:sz w:val="24"/>
                <w:szCs w:val="24"/>
              </w:rPr>
            </w:pPr>
          </w:p>
          <w:p w14:paraId="15A9CF09" w14:textId="77777777" w:rsidR="001E4219" w:rsidRDefault="00EB7FA2" w:rsidP="00EB7FA2">
            <w:pPr>
              <w:rPr>
                <w:rFonts w:ascii="Calibri" w:hAnsi="Calibri" w:cs="Calibri"/>
                <w:sz w:val="24"/>
                <w:szCs w:val="24"/>
              </w:rPr>
            </w:pPr>
            <w:r w:rsidRPr="00EB7FA2">
              <w:rPr>
                <w:rFonts w:ascii="Calibri" w:hAnsi="Calibri" w:cs="Calibri"/>
                <w:sz w:val="24"/>
                <w:szCs w:val="24"/>
              </w:rPr>
              <w:t xml:space="preserve">The Chief Executive and Registrar with the Director of Finance and Resources have commissioned an IT audit to build a better assessment of risks and ensure our IT investment and application system development projects are appropriately designed and resourced. The audit </w:t>
            </w:r>
            <w:r w:rsidR="001E4219">
              <w:rPr>
                <w:rFonts w:ascii="Calibri" w:hAnsi="Calibri" w:cs="Calibri"/>
                <w:sz w:val="24"/>
                <w:szCs w:val="24"/>
              </w:rPr>
              <w:t xml:space="preserve">which has been completed is intended to provide much more confidence as we seek to prioritise work to support out of date infrastructure and legacy systems and enable us to provide advice to the Board about investment. </w:t>
            </w:r>
          </w:p>
          <w:p w14:paraId="574C0762" w14:textId="77777777" w:rsidR="001E4219" w:rsidRDefault="001E4219" w:rsidP="00EB7FA2">
            <w:pPr>
              <w:rPr>
                <w:rFonts w:ascii="Calibri" w:hAnsi="Calibri" w:cs="Calibri"/>
                <w:sz w:val="24"/>
                <w:szCs w:val="24"/>
              </w:rPr>
            </w:pPr>
          </w:p>
          <w:p w14:paraId="48F981DA" w14:textId="1AC42620" w:rsidR="00EB7FA2" w:rsidRPr="00EB7FA2" w:rsidRDefault="00C219C0" w:rsidP="00EB7FA2">
            <w:pPr>
              <w:rPr>
                <w:rFonts w:ascii="Calibri" w:hAnsi="Calibri" w:cs="Calibri"/>
                <w:sz w:val="24"/>
                <w:szCs w:val="24"/>
              </w:rPr>
            </w:pPr>
            <w:r>
              <w:rPr>
                <w:rFonts w:ascii="Calibri" w:hAnsi="Calibri" w:cs="Calibri"/>
                <w:sz w:val="24"/>
                <w:szCs w:val="24"/>
              </w:rPr>
              <w:t>We will provide an opportunity for detailed discussion with the Board in September.</w:t>
            </w:r>
          </w:p>
          <w:p w14:paraId="172B24F8" w14:textId="77777777" w:rsidR="00E426C2" w:rsidRDefault="00E426C2" w:rsidP="009E1214">
            <w:pPr>
              <w:spacing w:before="40" w:after="40" w:line="240" w:lineRule="atLeast"/>
              <w:jc w:val="both"/>
              <w:rPr>
                <w:rFonts w:ascii="Calibri" w:hAnsi="Calibri" w:cs="Calibri"/>
                <w:b/>
                <w:bCs/>
                <w:sz w:val="24"/>
                <w:szCs w:val="24"/>
                <w:u w:val="single"/>
              </w:rPr>
            </w:pPr>
          </w:p>
          <w:p w14:paraId="7AC510FB" w14:textId="2B5F2833" w:rsidR="00E426C2" w:rsidRDefault="00E426C2" w:rsidP="009E1214">
            <w:pPr>
              <w:spacing w:before="40" w:after="40" w:line="240" w:lineRule="atLeast"/>
              <w:jc w:val="both"/>
              <w:rPr>
                <w:rFonts w:ascii="Calibri" w:hAnsi="Calibri" w:cs="Calibri"/>
                <w:b/>
                <w:bCs/>
                <w:sz w:val="24"/>
                <w:szCs w:val="24"/>
                <w:u w:val="single"/>
              </w:rPr>
            </w:pPr>
            <w:r>
              <w:rPr>
                <w:rFonts w:ascii="Calibri" w:hAnsi="Calibri" w:cs="Calibri"/>
                <w:b/>
                <w:bCs/>
                <w:sz w:val="24"/>
                <w:szCs w:val="24"/>
                <w:u w:val="single"/>
              </w:rPr>
              <w:t xml:space="preserve">Return to the </w:t>
            </w:r>
            <w:proofErr w:type="gramStart"/>
            <w:r>
              <w:rPr>
                <w:rFonts w:ascii="Calibri" w:hAnsi="Calibri" w:cs="Calibri"/>
                <w:b/>
                <w:bCs/>
                <w:sz w:val="24"/>
                <w:szCs w:val="24"/>
                <w:u w:val="single"/>
              </w:rPr>
              <w:t>office</w:t>
            </w:r>
            <w:proofErr w:type="gramEnd"/>
            <w:r>
              <w:rPr>
                <w:rFonts w:ascii="Calibri" w:hAnsi="Calibri" w:cs="Calibri"/>
                <w:b/>
                <w:bCs/>
                <w:sz w:val="24"/>
                <w:szCs w:val="24"/>
                <w:u w:val="single"/>
              </w:rPr>
              <w:t xml:space="preserve"> </w:t>
            </w:r>
          </w:p>
          <w:p w14:paraId="78F7A13D" w14:textId="77777777" w:rsidR="001E4219" w:rsidRDefault="001E4219" w:rsidP="001E4219">
            <w:pPr>
              <w:spacing w:before="40" w:after="40" w:line="240" w:lineRule="atLeast"/>
              <w:jc w:val="both"/>
              <w:rPr>
                <w:rFonts w:asciiTheme="minorHAnsi" w:hAnsiTheme="minorHAnsi"/>
                <w:sz w:val="24"/>
                <w:szCs w:val="24"/>
              </w:rPr>
            </w:pPr>
            <w:r w:rsidRPr="00663DA3">
              <w:rPr>
                <w:rFonts w:asciiTheme="minorHAnsi" w:hAnsiTheme="minorHAnsi"/>
                <w:sz w:val="24"/>
                <w:szCs w:val="24"/>
              </w:rPr>
              <w:t>From 1</w:t>
            </w:r>
            <w:r>
              <w:rPr>
                <w:rFonts w:asciiTheme="minorHAnsi" w:hAnsiTheme="minorHAnsi"/>
                <w:sz w:val="24"/>
                <w:szCs w:val="24"/>
              </w:rPr>
              <w:t>9 July</w:t>
            </w:r>
            <w:r w:rsidRPr="00663DA3">
              <w:rPr>
                <w:rFonts w:asciiTheme="minorHAnsi" w:hAnsiTheme="minorHAnsi"/>
                <w:sz w:val="24"/>
                <w:szCs w:val="24"/>
              </w:rPr>
              <w:t xml:space="preserve"> </w:t>
            </w:r>
            <w:r>
              <w:rPr>
                <w:rFonts w:asciiTheme="minorHAnsi" w:hAnsiTheme="minorHAnsi"/>
                <w:sz w:val="24"/>
                <w:szCs w:val="24"/>
              </w:rPr>
              <w:t xml:space="preserve">staff will be able to return to the </w:t>
            </w:r>
            <w:r w:rsidRPr="00663DA3">
              <w:rPr>
                <w:rFonts w:asciiTheme="minorHAnsi" w:hAnsiTheme="minorHAnsi"/>
                <w:sz w:val="24"/>
                <w:szCs w:val="24"/>
              </w:rPr>
              <w:t>office</w:t>
            </w:r>
            <w:r>
              <w:rPr>
                <w:rFonts w:asciiTheme="minorHAnsi" w:hAnsiTheme="minorHAnsi"/>
                <w:sz w:val="24"/>
                <w:szCs w:val="24"/>
              </w:rPr>
              <w:t xml:space="preserve"> in a safe and manged way, although the office will initially remain closed to visitors and no on-site meetings with external attendees will be held. C</w:t>
            </w:r>
            <w:r w:rsidRPr="00663DA3">
              <w:rPr>
                <w:rFonts w:asciiTheme="minorHAnsi" w:hAnsiTheme="minorHAnsi"/>
                <w:sz w:val="24"/>
                <w:szCs w:val="24"/>
              </w:rPr>
              <w:t xml:space="preserve">alls will </w:t>
            </w:r>
            <w:r>
              <w:rPr>
                <w:rFonts w:asciiTheme="minorHAnsi" w:hAnsiTheme="minorHAnsi"/>
                <w:sz w:val="24"/>
                <w:szCs w:val="24"/>
              </w:rPr>
              <w:t xml:space="preserve">continue to be </w:t>
            </w:r>
            <w:r w:rsidRPr="00663DA3">
              <w:rPr>
                <w:rFonts w:asciiTheme="minorHAnsi" w:hAnsiTheme="minorHAnsi"/>
                <w:sz w:val="24"/>
                <w:szCs w:val="24"/>
              </w:rPr>
              <w:t>answered remotely.  </w:t>
            </w:r>
            <w:r>
              <w:rPr>
                <w:rFonts w:asciiTheme="minorHAnsi" w:hAnsiTheme="minorHAnsi"/>
                <w:sz w:val="24"/>
                <w:szCs w:val="24"/>
              </w:rPr>
              <w:t>One</w:t>
            </w:r>
            <w:r w:rsidRPr="00663DA3">
              <w:rPr>
                <w:rFonts w:asciiTheme="minorHAnsi" w:hAnsiTheme="minorHAnsi"/>
                <w:sz w:val="24"/>
                <w:szCs w:val="24"/>
              </w:rPr>
              <w:t xml:space="preserve"> team </w:t>
            </w:r>
            <w:r>
              <w:rPr>
                <w:rFonts w:asciiTheme="minorHAnsi" w:hAnsiTheme="minorHAnsi"/>
                <w:sz w:val="24"/>
                <w:szCs w:val="24"/>
              </w:rPr>
              <w:t xml:space="preserve">will be attending </w:t>
            </w:r>
            <w:r w:rsidRPr="00663DA3">
              <w:rPr>
                <w:rFonts w:asciiTheme="minorHAnsi" w:hAnsiTheme="minorHAnsi"/>
                <w:sz w:val="24"/>
                <w:szCs w:val="24"/>
              </w:rPr>
              <w:t>the office per day</w:t>
            </w:r>
            <w:r>
              <w:rPr>
                <w:rFonts w:asciiTheme="minorHAnsi" w:hAnsiTheme="minorHAnsi"/>
                <w:sz w:val="24"/>
                <w:szCs w:val="24"/>
              </w:rPr>
              <w:t xml:space="preserve"> and social distancing to be maintained</w:t>
            </w:r>
            <w:r w:rsidRPr="00663DA3">
              <w:rPr>
                <w:rFonts w:asciiTheme="minorHAnsi" w:hAnsiTheme="minorHAnsi"/>
                <w:sz w:val="24"/>
                <w:szCs w:val="24"/>
              </w:rPr>
              <w:t>.</w:t>
            </w:r>
            <w:r>
              <w:rPr>
                <w:rFonts w:asciiTheme="minorHAnsi" w:hAnsiTheme="minorHAnsi"/>
                <w:sz w:val="24"/>
                <w:szCs w:val="24"/>
              </w:rPr>
              <w:t xml:space="preserve">  We </w:t>
            </w:r>
            <w:r>
              <w:rPr>
                <w:rFonts w:asciiTheme="minorHAnsi" w:hAnsiTheme="minorHAnsi"/>
                <w:sz w:val="24"/>
                <w:szCs w:val="24"/>
              </w:rPr>
              <w:lastRenderedPageBreak/>
              <w:t xml:space="preserve">want to support staff back to the office and so staff are only being encouraged to come into the office at this stage.  </w:t>
            </w:r>
          </w:p>
          <w:p w14:paraId="02AB30FA" w14:textId="77777777" w:rsidR="001E4219" w:rsidRDefault="001E4219" w:rsidP="001E4219">
            <w:pPr>
              <w:rPr>
                <w:rFonts w:asciiTheme="minorHAnsi" w:hAnsiTheme="minorHAnsi"/>
                <w:sz w:val="24"/>
                <w:szCs w:val="24"/>
              </w:rPr>
            </w:pPr>
          </w:p>
          <w:p w14:paraId="2618E67F" w14:textId="52A80CA4" w:rsidR="001E4219" w:rsidRDefault="001E4219" w:rsidP="001E4219">
            <w:pPr>
              <w:rPr>
                <w:rFonts w:asciiTheme="minorHAnsi" w:hAnsiTheme="minorHAnsi"/>
                <w:sz w:val="24"/>
                <w:szCs w:val="24"/>
              </w:rPr>
            </w:pPr>
            <w:r>
              <w:rPr>
                <w:rFonts w:asciiTheme="minorHAnsi" w:hAnsiTheme="minorHAnsi"/>
                <w:sz w:val="24"/>
                <w:szCs w:val="24"/>
              </w:rPr>
              <w:t xml:space="preserve">Over the next few </w:t>
            </w:r>
            <w:proofErr w:type="gramStart"/>
            <w:r>
              <w:rPr>
                <w:rFonts w:asciiTheme="minorHAnsi" w:hAnsiTheme="minorHAnsi"/>
                <w:sz w:val="24"/>
                <w:szCs w:val="24"/>
              </w:rPr>
              <w:t>weeks</w:t>
            </w:r>
            <w:proofErr w:type="gramEnd"/>
            <w:r>
              <w:rPr>
                <w:rFonts w:asciiTheme="minorHAnsi" w:hAnsiTheme="minorHAnsi"/>
                <w:sz w:val="24"/>
                <w:szCs w:val="24"/>
              </w:rPr>
              <w:t xml:space="preserve"> we will be launching a survey to continue to understand concerns of staff in returning to the office as well as how their attitudes to home and office working may have changed during Covid-19 lockdown.</w:t>
            </w:r>
          </w:p>
          <w:p w14:paraId="244F6C4E" w14:textId="77777777" w:rsidR="001E4219" w:rsidRDefault="001E4219" w:rsidP="001E4219">
            <w:pPr>
              <w:rPr>
                <w:rFonts w:asciiTheme="minorHAnsi" w:hAnsiTheme="minorHAnsi"/>
                <w:sz w:val="24"/>
                <w:szCs w:val="24"/>
              </w:rPr>
            </w:pPr>
          </w:p>
          <w:p w14:paraId="15FAC1D5" w14:textId="77777777" w:rsidR="001E4219" w:rsidRDefault="001E4219" w:rsidP="001E4219">
            <w:pPr>
              <w:rPr>
                <w:rFonts w:asciiTheme="minorHAnsi" w:hAnsiTheme="minorHAnsi"/>
                <w:sz w:val="24"/>
                <w:szCs w:val="24"/>
              </w:rPr>
            </w:pPr>
            <w:r>
              <w:rPr>
                <w:rFonts w:asciiTheme="minorHAnsi" w:hAnsiTheme="minorHAnsi"/>
                <w:sz w:val="24"/>
                <w:szCs w:val="24"/>
              </w:rPr>
              <w:t>Once we have the results of the survey, we will review the findings before moving to the next stages of re-opening.</w:t>
            </w:r>
          </w:p>
          <w:p w14:paraId="4FEAC585" w14:textId="77777777" w:rsidR="001E4219" w:rsidRDefault="001E4219" w:rsidP="001E4219">
            <w:pPr>
              <w:rPr>
                <w:rFonts w:asciiTheme="minorHAnsi" w:hAnsiTheme="minorHAnsi"/>
                <w:sz w:val="24"/>
                <w:szCs w:val="24"/>
              </w:rPr>
            </w:pPr>
          </w:p>
          <w:p w14:paraId="7CA8618B" w14:textId="19A09DAB" w:rsidR="001E4219" w:rsidRDefault="001E4219" w:rsidP="001E4219">
            <w:pPr>
              <w:rPr>
                <w:rFonts w:asciiTheme="minorHAnsi" w:hAnsiTheme="minorHAnsi"/>
                <w:sz w:val="24"/>
                <w:szCs w:val="24"/>
              </w:rPr>
            </w:pPr>
            <w:r>
              <w:rPr>
                <w:rFonts w:asciiTheme="minorHAnsi" w:hAnsiTheme="minorHAnsi"/>
                <w:sz w:val="24"/>
                <w:szCs w:val="24"/>
              </w:rPr>
              <w:t>We have carried out the relevant risk assessments and are comfortable to commence in-office Committee and Board meetings and guidance has been issued on these arrangements. We will keep these under review.</w:t>
            </w:r>
          </w:p>
          <w:p w14:paraId="187F0FD6" w14:textId="77777777" w:rsidR="001E4219" w:rsidRDefault="001E4219" w:rsidP="001E4219">
            <w:pPr>
              <w:rPr>
                <w:rFonts w:asciiTheme="minorHAnsi" w:hAnsiTheme="minorHAnsi"/>
                <w:sz w:val="24"/>
                <w:szCs w:val="24"/>
              </w:rPr>
            </w:pPr>
          </w:p>
          <w:bookmarkEnd w:id="1"/>
          <w:p w14:paraId="12A48125" w14:textId="77777777" w:rsidR="008E23BE" w:rsidRDefault="008E23BE" w:rsidP="00775E61">
            <w:pPr>
              <w:spacing w:before="40" w:after="40" w:line="240" w:lineRule="atLeast"/>
              <w:jc w:val="both"/>
              <w:rPr>
                <w:rFonts w:ascii="Calibri" w:hAnsi="Calibri" w:cs="Calibri"/>
                <w:b/>
                <w:color w:val="548DD4"/>
                <w:sz w:val="24"/>
                <w:szCs w:val="24"/>
              </w:rPr>
            </w:pPr>
          </w:p>
        </w:tc>
      </w:tr>
      <w:tr w:rsidR="008E23BE" w:rsidRPr="004978CF" w14:paraId="1C8868F5" w14:textId="77777777" w:rsidTr="003F5CE5">
        <w:trPr>
          <w:trHeight w:val="967"/>
        </w:trPr>
        <w:tc>
          <w:tcPr>
            <w:tcW w:w="534" w:type="dxa"/>
            <w:shd w:val="clear" w:color="auto" w:fill="auto"/>
          </w:tcPr>
          <w:p w14:paraId="0A08F87B" w14:textId="27C5F749" w:rsidR="008E23BE" w:rsidRPr="00DB1C0E" w:rsidRDefault="001E2870" w:rsidP="00161481">
            <w:pPr>
              <w:spacing w:before="40" w:after="40" w:line="240" w:lineRule="atLeast"/>
              <w:rPr>
                <w:rFonts w:asciiTheme="minorHAnsi" w:hAnsiTheme="minorHAnsi" w:cstheme="minorHAnsi"/>
                <w:b/>
                <w:color w:val="4F81BD"/>
                <w:sz w:val="24"/>
                <w:szCs w:val="24"/>
              </w:rPr>
            </w:pPr>
            <w:r w:rsidRPr="00DB1C0E">
              <w:rPr>
                <w:rFonts w:asciiTheme="minorHAnsi" w:hAnsiTheme="minorHAnsi" w:cstheme="minorHAnsi"/>
                <w:b/>
                <w:color w:val="4F81BD"/>
                <w:sz w:val="24"/>
                <w:szCs w:val="24"/>
              </w:rPr>
              <w:lastRenderedPageBreak/>
              <w:t>5</w:t>
            </w:r>
            <w:r w:rsidR="008E23BE" w:rsidRPr="00DB1C0E">
              <w:rPr>
                <w:rFonts w:asciiTheme="minorHAnsi" w:hAnsiTheme="minorHAnsi" w:cstheme="minorHAnsi"/>
                <w:b/>
                <w:color w:val="4F81BD"/>
                <w:sz w:val="24"/>
                <w:szCs w:val="24"/>
              </w:rPr>
              <w:t>.</w:t>
            </w:r>
          </w:p>
        </w:tc>
        <w:tc>
          <w:tcPr>
            <w:tcW w:w="9355" w:type="dxa"/>
            <w:gridSpan w:val="3"/>
            <w:shd w:val="clear" w:color="auto" w:fill="auto"/>
          </w:tcPr>
          <w:p w14:paraId="2CDE111E" w14:textId="162AF84F" w:rsidR="002D6816" w:rsidRPr="00DB1C0E" w:rsidRDefault="00DB1C0E" w:rsidP="002D6816">
            <w:pPr>
              <w:spacing w:before="40" w:after="40" w:line="240" w:lineRule="atLeast"/>
              <w:jc w:val="both"/>
              <w:rPr>
                <w:rFonts w:asciiTheme="minorHAnsi" w:hAnsiTheme="minorHAnsi" w:cstheme="minorHAnsi"/>
                <w:b/>
                <w:color w:val="4F81BD"/>
                <w:sz w:val="24"/>
                <w:szCs w:val="24"/>
              </w:rPr>
            </w:pPr>
            <w:r w:rsidRPr="00DB1C0E">
              <w:rPr>
                <w:rFonts w:asciiTheme="minorHAnsi" w:hAnsiTheme="minorHAnsi" w:cstheme="minorHAnsi"/>
                <w:b/>
                <w:color w:val="4F81BD"/>
                <w:sz w:val="24"/>
                <w:szCs w:val="24"/>
              </w:rPr>
              <w:t xml:space="preserve">Policy and communications </w:t>
            </w:r>
            <w:r w:rsidR="002D6816" w:rsidRPr="00DB1C0E">
              <w:rPr>
                <w:rFonts w:asciiTheme="minorHAnsi" w:hAnsiTheme="minorHAnsi" w:cstheme="minorHAnsi"/>
                <w:b/>
                <w:color w:val="4F81BD"/>
                <w:sz w:val="24"/>
                <w:szCs w:val="24"/>
              </w:rPr>
              <w:t>update</w:t>
            </w:r>
          </w:p>
          <w:p w14:paraId="5E437A7F" w14:textId="484A5A78" w:rsidR="002D6816" w:rsidRPr="00DB1C0E" w:rsidRDefault="00DB1C0E" w:rsidP="00DB1C0E">
            <w:pPr>
              <w:rPr>
                <w:rFonts w:asciiTheme="minorHAnsi" w:hAnsiTheme="minorHAnsi" w:cstheme="minorHAnsi"/>
                <w:sz w:val="24"/>
                <w:szCs w:val="24"/>
              </w:rPr>
            </w:pPr>
            <w:r w:rsidRPr="00DB1C0E">
              <w:rPr>
                <w:rFonts w:asciiTheme="minorHAnsi" w:hAnsiTheme="minorHAnsi" w:cstheme="minorHAnsi"/>
                <w:sz w:val="24"/>
                <w:szCs w:val="24"/>
              </w:rPr>
              <w:t>We have started to evaluate our activities against four key aims, in line with ARB’s key messages and priorities in the business plan. These are below and highlighted in brackets against relevant activities.</w:t>
            </w:r>
          </w:p>
          <w:p w14:paraId="72FAB9A7" w14:textId="17B13E92" w:rsidR="00DB1C0E" w:rsidRPr="00DB1C0E" w:rsidRDefault="00DB1C0E" w:rsidP="00DB1C0E">
            <w:pPr>
              <w:rPr>
                <w:rFonts w:asciiTheme="minorHAnsi" w:hAnsiTheme="minorHAnsi" w:cstheme="minorHAnsi"/>
                <w:sz w:val="24"/>
                <w:szCs w:val="24"/>
              </w:rPr>
            </w:pPr>
          </w:p>
          <w:p w14:paraId="517AF5E6" w14:textId="77777777" w:rsidR="00DB1C0E" w:rsidRPr="00DB1C0E" w:rsidRDefault="00DB1C0E" w:rsidP="00DB1C0E">
            <w:pPr>
              <w:pStyle w:val="ListParagraph"/>
              <w:numPr>
                <w:ilvl w:val="0"/>
                <w:numId w:val="40"/>
              </w:numPr>
              <w:rPr>
                <w:rFonts w:asciiTheme="minorHAnsi" w:eastAsia="Times New Roman" w:hAnsiTheme="minorHAnsi" w:cstheme="minorHAnsi"/>
              </w:rPr>
            </w:pPr>
            <w:r w:rsidRPr="00DB1C0E">
              <w:rPr>
                <w:rFonts w:asciiTheme="minorHAnsi" w:eastAsia="Times New Roman" w:hAnsiTheme="minorHAnsi" w:cstheme="minorHAnsi"/>
                <w:b/>
                <w:bCs/>
              </w:rPr>
              <w:t>ARB</w:t>
            </w:r>
            <w:r w:rsidRPr="00DB1C0E">
              <w:rPr>
                <w:rFonts w:asciiTheme="minorHAnsi" w:eastAsia="Times New Roman" w:hAnsiTheme="minorHAnsi" w:cstheme="minorHAnsi"/>
              </w:rPr>
              <w:t xml:space="preserve"> - raising the profile of ARB and putting our brand identity into action so that people understand our purpose, role, responsibility, and have confidence in us.</w:t>
            </w:r>
          </w:p>
          <w:p w14:paraId="75385025" w14:textId="77777777" w:rsidR="00DB1C0E" w:rsidRPr="00DB1C0E" w:rsidRDefault="00DB1C0E" w:rsidP="00DB1C0E">
            <w:pPr>
              <w:rPr>
                <w:rFonts w:asciiTheme="minorHAnsi" w:hAnsiTheme="minorHAnsi" w:cstheme="minorHAnsi"/>
              </w:rPr>
            </w:pPr>
          </w:p>
          <w:p w14:paraId="0C67823F" w14:textId="77777777" w:rsidR="00DB1C0E" w:rsidRPr="00DB1C0E" w:rsidRDefault="00DB1C0E" w:rsidP="00DB1C0E">
            <w:pPr>
              <w:pStyle w:val="ListParagraph"/>
              <w:numPr>
                <w:ilvl w:val="0"/>
                <w:numId w:val="40"/>
              </w:numPr>
              <w:rPr>
                <w:rFonts w:asciiTheme="minorHAnsi" w:eastAsia="Times New Roman" w:hAnsiTheme="minorHAnsi" w:cstheme="minorHAnsi"/>
              </w:rPr>
            </w:pPr>
            <w:r w:rsidRPr="00DB1C0E">
              <w:rPr>
                <w:rFonts w:asciiTheme="minorHAnsi" w:eastAsia="Times New Roman" w:hAnsiTheme="minorHAnsi" w:cstheme="minorHAnsi"/>
                <w:b/>
                <w:bCs/>
              </w:rPr>
              <w:t>CPD</w:t>
            </w:r>
            <w:r w:rsidRPr="00DB1C0E">
              <w:rPr>
                <w:rFonts w:asciiTheme="minorHAnsi" w:eastAsia="Times New Roman" w:hAnsiTheme="minorHAnsi" w:cstheme="minorHAnsi"/>
              </w:rPr>
              <w:t xml:space="preserve"> - engaging stakeholders to help us develop a Continuing Professional Development scheme that is that is proportionate, genuinely helpful to the profession, and tailored by architects to meet their own individual development needs.</w:t>
            </w:r>
          </w:p>
          <w:p w14:paraId="79FC6674" w14:textId="77777777" w:rsidR="00DB1C0E" w:rsidRPr="00DB1C0E" w:rsidRDefault="00DB1C0E" w:rsidP="00DB1C0E">
            <w:pPr>
              <w:rPr>
                <w:rFonts w:asciiTheme="minorHAnsi" w:hAnsiTheme="minorHAnsi" w:cstheme="minorHAnsi"/>
              </w:rPr>
            </w:pPr>
          </w:p>
          <w:p w14:paraId="62F3597D" w14:textId="77777777" w:rsidR="00DB1C0E" w:rsidRPr="00DB1C0E" w:rsidRDefault="00DB1C0E" w:rsidP="00DB1C0E">
            <w:pPr>
              <w:pStyle w:val="ListParagraph"/>
              <w:numPr>
                <w:ilvl w:val="0"/>
                <w:numId w:val="40"/>
              </w:numPr>
              <w:rPr>
                <w:rFonts w:asciiTheme="minorHAnsi" w:eastAsia="Times New Roman" w:hAnsiTheme="minorHAnsi" w:cstheme="minorHAnsi"/>
              </w:rPr>
            </w:pPr>
            <w:r w:rsidRPr="00DB1C0E">
              <w:rPr>
                <w:rFonts w:asciiTheme="minorHAnsi" w:eastAsia="Times New Roman" w:hAnsiTheme="minorHAnsi" w:cstheme="minorHAnsi"/>
                <w:b/>
                <w:bCs/>
              </w:rPr>
              <w:t>IET</w:t>
            </w:r>
            <w:r w:rsidRPr="00DB1C0E">
              <w:rPr>
                <w:rFonts w:asciiTheme="minorHAnsi" w:eastAsia="Times New Roman" w:hAnsiTheme="minorHAnsi" w:cstheme="minorHAnsi"/>
              </w:rPr>
              <w:t xml:space="preserve"> - engaging stakeholders to help us develop an outcomes-based approach to initial education and training that will enable new routes into and thereby improve access to the profession.</w:t>
            </w:r>
          </w:p>
          <w:p w14:paraId="2CBCF93D" w14:textId="77777777" w:rsidR="00DB1C0E" w:rsidRPr="00DB1C0E" w:rsidRDefault="00DB1C0E" w:rsidP="00DB1C0E">
            <w:pPr>
              <w:rPr>
                <w:rFonts w:asciiTheme="minorHAnsi" w:hAnsiTheme="minorHAnsi" w:cstheme="minorHAnsi"/>
              </w:rPr>
            </w:pPr>
          </w:p>
          <w:p w14:paraId="68B2510E" w14:textId="77777777" w:rsidR="00DB1C0E" w:rsidRPr="00DB1C0E" w:rsidRDefault="00DB1C0E" w:rsidP="00DB1C0E">
            <w:pPr>
              <w:pStyle w:val="ListParagraph"/>
              <w:numPr>
                <w:ilvl w:val="0"/>
                <w:numId w:val="40"/>
              </w:numPr>
              <w:rPr>
                <w:rFonts w:asciiTheme="minorHAnsi" w:eastAsia="Times New Roman" w:hAnsiTheme="minorHAnsi" w:cstheme="minorHAnsi"/>
              </w:rPr>
            </w:pPr>
            <w:r w:rsidRPr="00DB1C0E">
              <w:rPr>
                <w:rFonts w:asciiTheme="minorHAnsi" w:eastAsia="Times New Roman" w:hAnsiTheme="minorHAnsi" w:cstheme="minorHAnsi"/>
                <w:b/>
                <w:bCs/>
              </w:rPr>
              <w:t>EDI</w:t>
            </w:r>
            <w:r w:rsidRPr="00DB1C0E">
              <w:rPr>
                <w:rFonts w:asciiTheme="minorHAnsi" w:eastAsia="Times New Roman" w:hAnsiTheme="minorHAnsi" w:cstheme="minorHAnsi"/>
              </w:rPr>
              <w:t xml:space="preserve"> - promoting our aim for a profession that is diverse and representative of </w:t>
            </w:r>
            <w:proofErr w:type="gramStart"/>
            <w:r w:rsidRPr="00DB1C0E">
              <w:rPr>
                <w:rFonts w:asciiTheme="minorHAnsi" w:eastAsia="Times New Roman" w:hAnsiTheme="minorHAnsi" w:cstheme="minorHAnsi"/>
              </w:rPr>
              <w:t>society, and</w:t>
            </w:r>
            <w:proofErr w:type="gramEnd"/>
            <w:r w:rsidRPr="00DB1C0E">
              <w:rPr>
                <w:rFonts w:asciiTheme="minorHAnsi" w:eastAsia="Times New Roman" w:hAnsiTheme="minorHAnsi" w:cstheme="minorHAnsi"/>
              </w:rPr>
              <w:t xml:space="preserve"> gathering stakeholder support on the actions we’ll take to get there.</w:t>
            </w:r>
          </w:p>
          <w:p w14:paraId="1BDC7342" w14:textId="77777777" w:rsidR="00DB1C0E" w:rsidRPr="00DB1C0E" w:rsidRDefault="00DB1C0E" w:rsidP="00DB1C0E">
            <w:pPr>
              <w:pStyle w:val="ListParagraph"/>
              <w:rPr>
                <w:rFonts w:asciiTheme="minorHAnsi" w:eastAsia="Times New Roman" w:hAnsiTheme="minorHAnsi" w:cstheme="minorHAnsi"/>
              </w:rPr>
            </w:pPr>
          </w:p>
          <w:p w14:paraId="05BA271B" w14:textId="7EBD55E2" w:rsidR="00DB1C0E" w:rsidRDefault="00DB1C0E" w:rsidP="00DB1C0E">
            <w:pPr>
              <w:rPr>
                <w:rFonts w:asciiTheme="minorHAnsi" w:hAnsiTheme="minorHAnsi" w:cstheme="minorHAnsi"/>
                <w:sz w:val="24"/>
                <w:szCs w:val="24"/>
              </w:rPr>
            </w:pPr>
          </w:p>
          <w:p w14:paraId="4094BDBB" w14:textId="253F87E0" w:rsidR="006326CB" w:rsidRDefault="006326CB" w:rsidP="00DB1C0E">
            <w:pPr>
              <w:rPr>
                <w:rFonts w:asciiTheme="minorHAnsi" w:hAnsiTheme="minorHAnsi" w:cstheme="minorHAnsi"/>
                <w:sz w:val="24"/>
                <w:szCs w:val="24"/>
              </w:rPr>
            </w:pPr>
          </w:p>
          <w:p w14:paraId="114C6728" w14:textId="3B1E27A6" w:rsidR="006326CB" w:rsidRDefault="006326CB" w:rsidP="00DB1C0E">
            <w:pPr>
              <w:rPr>
                <w:rFonts w:asciiTheme="minorHAnsi" w:hAnsiTheme="minorHAnsi" w:cstheme="minorHAnsi"/>
                <w:sz w:val="24"/>
                <w:szCs w:val="24"/>
              </w:rPr>
            </w:pPr>
          </w:p>
          <w:p w14:paraId="0EE3D50A" w14:textId="557089EB" w:rsidR="006326CB" w:rsidRDefault="006326CB" w:rsidP="00DB1C0E">
            <w:pPr>
              <w:rPr>
                <w:rFonts w:asciiTheme="minorHAnsi" w:hAnsiTheme="minorHAnsi" w:cstheme="minorHAnsi"/>
                <w:sz w:val="24"/>
                <w:szCs w:val="24"/>
              </w:rPr>
            </w:pPr>
          </w:p>
          <w:p w14:paraId="5967D96E" w14:textId="000D41BB" w:rsidR="006326CB" w:rsidRDefault="006326CB" w:rsidP="00DB1C0E">
            <w:pPr>
              <w:rPr>
                <w:rFonts w:asciiTheme="minorHAnsi" w:hAnsiTheme="minorHAnsi" w:cstheme="minorHAnsi"/>
                <w:sz w:val="24"/>
                <w:szCs w:val="24"/>
              </w:rPr>
            </w:pPr>
          </w:p>
          <w:p w14:paraId="179F6493" w14:textId="58E21360" w:rsidR="006326CB" w:rsidRDefault="006326CB" w:rsidP="00DB1C0E">
            <w:pPr>
              <w:rPr>
                <w:rFonts w:asciiTheme="minorHAnsi" w:hAnsiTheme="minorHAnsi" w:cstheme="minorHAnsi"/>
                <w:sz w:val="24"/>
                <w:szCs w:val="24"/>
              </w:rPr>
            </w:pPr>
          </w:p>
          <w:p w14:paraId="740E254E" w14:textId="5DBA0A62" w:rsidR="006326CB" w:rsidRDefault="006326CB" w:rsidP="00DB1C0E">
            <w:pPr>
              <w:rPr>
                <w:rFonts w:asciiTheme="minorHAnsi" w:hAnsiTheme="minorHAnsi" w:cstheme="minorHAnsi"/>
                <w:sz w:val="24"/>
                <w:szCs w:val="24"/>
              </w:rPr>
            </w:pPr>
          </w:p>
          <w:p w14:paraId="452D44EB" w14:textId="74B9B3C0" w:rsidR="006326CB" w:rsidRDefault="006326CB" w:rsidP="00DB1C0E">
            <w:pPr>
              <w:rPr>
                <w:rFonts w:asciiTheme="minorHAnsi" w:hAnsiTheme="minorHAnsi" w:cstheme="minorHAnsi"/>
                <w:sz w:val="24"/>
                <w:szCs w:val="24"/>
              </w:rPr>
            </w:pPr>
          </w:p>
          <w:p w14:paraId="1331B86D" w14:textId="757CE1D2" w:rsidR="006326CB" w:rsidRDefault="006326CB" w:rsidP="00DB1C0E">
            <w:pPr>
              <w:rPr>
                <w:rFonts w:asciiTheme="minorHAnsi" w:hAnsiTheme="minorHAnsi" w:cstheme="minorHAnsi"/>
                <w:sz w:val="24"/>
                <w:szCs w:val="24"/>
              </w:rPr>
            </w:pPr>
          </w:p>
          <w:p w14:paraId="52F02648" w14:textId="61F96EB2" w:rsidR="006326CB" w:rsidRDefault="006326CB" w:rsidP="00DB1C0E">
            <w:pPr>
              <w:rPr>
                <w:rFonts w:asciiTheme="minorHAnsi" w:hAnsiTheme="minorHAnsi" w:cstheme="minorHAnsi"/>
                <w:sz w:val="24"/>
                <w:szCs w:val="24"/>
              </w:rPr>
            </w:pPr>
          </w:p>
          <w:p w14:paraId="39189B00" w14:textId="7FFF1DE5" w:rsidR="006326CB" w:rsidRDefault="006326CB" w:rsidP="00DB1C0E">
            <w:pPr>
              <w:rPr>
                <w:rFonts w:asciiTheme="minorHAnsi" w:hAnsiTheme="minorHAnsi" w:cstheme="minorHAnsi"/>
                <w:sz w:val="24"/>
                <w:szCs w:val="24"/>
              </w:rPr>
            </w:pPr>
          </w:p>
          <w:p w14:paraId="792AE4A8" w14:textId="7D92F4A4" w:rsidR="006326CB" w:rsidRDefault="006326CB" w:rsidP="00DB1C0E">
            <w:pPr>
              <w:rPr>
                <w:rFonts w:asciiTheme="minorHAnsi" w:hAnsiTheme="minorHAnsi" w:cstheme="minorHAnsi"/>
                <w:sz w:val="24"/>
                <w:szCs w:val="24"/>
              </w:rPr>
            </w:pPr>
          </w:p>
          <w:p w14:paraId="09C04246" w14:textId="77777777" w:rsidR="006326CB" w:rsidRPr="00DB1C0E" w:rsidRDefault="006326CB" w:rsidP="00DB1C0E">
            <w:pPr>
              <w:rPr>
                <w:rFonts w:asciiTheme="minorHAnsi" w:hAnsiTheme="minorHAnsi" w:cstheme="minorHAnsi"/>
                <w:sz w:val="24"/>
                <w:szCs w:val="24"/>
              </w:rPr>
            </w:pPr>
          </w:p>
          <w:p w14:paraId="39F1E61D" w14:textId="77777777" w:rsidR="00DB1C0E" w:rsidRPr="00DB1C0E" w:rsidRDefault="00DB1C0E" w:rsidP="00DB1C0E">
            <w:pPr>
              <w:rPr>
                <w:rFonts w:asciiTheme="minorHAnsi" w:hAnsiTheme="minorHAnsi" w:cstheme="minorHAnsi"/>
                <w:b/>
                <w:bCs/>
                <w:sz w:val="28"/>
                <w:szCs w:val="28"/>
              </w:rPr>
            </w:pPr>
            <w:r w:rsidRPr="00DB1C0E">
              <w:rPr>
                <w:rFonts w:asciiTheme="minorHAnsi" w:hAnsiTheme="minorHAnsi" w:cstheme="minorHAnsi"/>
                <w:b/>
                <w:bCs/>
                <w:sz w:val="28"/>
                <w:szCs w:val="28"/>
              </w:rPr>
              <w:lastRenderedPageBreak/>
              <w:t>Engagement with stakeholders</w:t>
            </w:r>
          </w:p>
          <w:p w14:paraId="1015B7D6" w14:textId="77777777" w:rsidR="00DB1C0E" w:rsidRPr="00DB1C0E" w:rsidRDefault="00DB1C0E" w:rsidP="00DB1C0E">
            <w:pPr>
              <w:rPr>
                <w:rFonts w:asciiTheme="minorHAnsi" w:hAnsiTheme="minorHAnsi" w:cstheme="minorHAnsi"/>
              </w:rPr>
            </w:pPr>
          </w:p>
          <w:p w14:paraId="2C3A434B" w14:textId="77777777" w:rsidR="00DB1C0E" w:rsidRPr="00DB1C0E" w:rsidRDefault="00DB1C0E" w:rsidP="00DB1C0E">
            <w:pPr>
              <w:rPr>
                <w:rFonts w:asciiTheme="minorHAnsi" w:hAnsiTheme="minorHAnsi" w:cstheme="minorHAnsi"/>
                <w:i/>
                <w:iCs/>
              </w:rPr>
            </w:pPr>
          </w:p>
          <w:tbl>
            <w:tblPr>
              <w:tblStyle w:val="TableGrid"/>
              <w:tblW w:w="0" w:type="auto"/>
              <w:tblLayout w:type="fixed"/>
              <w:tblLook w:val="04A0" w:firstRow="1" w:lastRow="0" w:firstColumn="1" w:lastColumn="0" w:noHBand="0" w:noVBand="1"/>
            </w:tblPr>
            <w:tblGrid>
              <w:gridCol w:w="1123"/>
              <w:gridCol w:w="3505"/>
              <w:gridCol w:w="1774"/>
              <w:gridCol w:w="2614"/>
            </w:tblGrid>
            <w:tr w:rsidR="00DB1C0E" w:rsidRPr="00DB1C0E" w14:paraId="0CE34004" w14:textId="77777777" w:rsidTr="00C573B2">
              <w:trPr>
                <w:trHeight w:val="300"/>
              </w:trPr>
              <w:tc>
                <w:tcPr>
                  <w:tcW w:w="1123" w:type="dxa"/>
                  <w:shd w:val="clear" w:color="auto" w:fill="FFFF00"/>
                  <w:noWrap/>
                  <w:hideMark/>
                </w:tcPr>
                <w:p w14:paraId="523450B6" w14:textId="77777777" w:rsidR="00DB1C0E" w:rsidRPr="006326CB" w:rsidRDefault="00DB1C0E" w:rsidP="00DB1C0E">
                  <w:pPr>
                    <w:rPr>
                      <w:rFonts w:asciiTheme="minorHAnsi" w:hAnsiTheme="minorHAnsi" w:cstheme="minorHAnsi"/>
                      <w:b/>
                      <w:bCs/>
                      <w:color w:val="000000"/>
                      <w:sz w:val="22"/>
                      <w:szCs w:val="22"/>
                      <w:lang w:eastAsia="en-GB"/>
                    </w:rPr>
                  </w:pPr>
                  <w:r w:rsidRPr="006326CB">
                    <w:rPr>
                      <w:rFonts w:asciiTheme="minorHAnsi" w:hAnsiTheme="minorHAnsi" w:cstheme="minorHAnsi"/>
                      <w:b/>
                      <w:bCs/>
                      <w:color w:val="000000"/>
                      <w:sz w:val="22"/>
                      <w:szCs w:val="22"/>
                      <w:lang w:eastAsia="en-GB"/>
                    </w:rPr>
                    <w:t>June</w:t>
                  </w:r>
                </w:p>
              </w:tc>
              <w:tc>
                <w:tcPr>
                  <w:tcW w:w="3505" w:type="dxa"/>
                  <w:shd w:val="clear" w:color="auto" w:fill="FFFF00"/>
                  <w:noWrap/>
                  <w:hideMark/>
                </w:tcPr>
                <w:p w14:paraId="3C09465C" w14:textId="77777777" w:rsidR="00DB1C0E" w:rsidRPr="006326CB" w:rsidRDefault="00DB1C0E" w:rsidP="00DB1C0E">
                  <w:pPr>
                    <w:rPr>
                      <w:rFonts w:asciiTheme="minorHAnsi" w:hAnsiTheme="minorHAnsi" w:cstheme="minorHAnsi"/>
                      <w:b/>
                      <w:bCs/>
                      <w:color w:val="000000"/>
                      <w:sz w:val="22"/>
                      <w:szCs w:val="22"/>
                      <w:lang w:eastAsia="en-GB"/>
                    </w:rPr>
                  </w:pPr>
                  <w:r w:rsidRPr="006326CB">
                    <w:rPr>
                      <w:rFonts w:asciiTheme="minorHAnsi" w:hAnsiTheme="minorHAnsi" w:cstheme="minorHAnsi"/>
                      <w:b/>
                      <w:bCs/>
                      <w:color w:val="000000"/>
                      <w:sz w:val="22"/>
                      <w:szCs w:val="22"/>
                      <w:lang w:eastAsia="en-GB"/>
                    </w:rPr>
                    <w:t xml:space="preserve">Meeting Details </w:t>
                  </w:r>
                </w:p>
              </w:tc>
              <w:tc>
                <w:tcPr>
                  <w:tcW w:w="1774" w:type="dxa"/>
                  <w:shd w:val="clear" w:color="auto" w:fill="FFFF00"/>
                  <w:noWrap/>
                  <w:hideMark/>
                </w:tcPr>
                <w:p w14:paraId="4ADD1502" w14:textId="77777777" w:rsidR="00DB1C0E" w:rsidRPr="006326CB" w:rsidRDefault="00DB1C0E" w:rsidP="00DB1C0E">
                  <w:pPr>
                    <w:rPr>
                      <w:rFonts w:asciiTheme="minorHAnsi" w:hAnsiTheme="minorHAnsi" w:cstheme="minorHAnsi"/>
                      <w:b/>
                      <w:bCs/>
                      <w:color w:val="000000"/>
                      <w:sz w:val="22"/>
                      <w:szCs w:val="22"/>
                      <w:lang w:eastAsia="en-GB"/>
                    </w:rPr>
                  </w:pPr>
                  <w:r w:rsidRPr="006326CB">
                    <w:rPr>
                      <w:rFonts w:asciiTheme="minorHAnsi" w:hAnsiTheme="minorHAnsi" w:cstheme="minorHAnsi"/>
                      <w:b/>
                      <w:bCs/>
                      <w:color w:val="000000"/>
                      <w:sz w:val="22"/>
                      <w:szCs w:val="22"/>
                      <w:lang w:eastAsia="en-GB"/>
                    </w:rPr>
                    <w:t xml:space="preserve">SLG member/s in attendance </w:t>
                  </w:r>
                </w:p>
              </w:tc>
              <w:tc>
                <w:tcPr>
                  <w:tcW w:w="2614" w:type="dxa"/>
                  <w:shd w:val="clear" w:color="auto" w:fill="FFFF00"/>
                  <w:noWrap/>
                  <w:hideMark/>
                </w:tcPr>
                <w:p w14:paraId="1E7BC28C" w14:textId="77777777" w:rsidR="00DB1C0E" w:rsidRPr="006326CB" w:rsidRDefault="00DB1C0E" w:rsidP="00DB1C0E">
                  <w:pPr>
                    <w:rPr>
                      <w:rFonts w:asciiTheme="minorHAnsi" w:hAnsiTheme="minorHAnsi" w:cstheme="minorHAnsi"/>
                      <w:b/>
                      <w:bCs/>
                      <w:color w:val="000000"/>
                      <w:sz w:val="22"/>
                      <w:szCs w:val="22"/>
                      <w:lang w:eastAsia="en-GB"/>
                    </w:rPr>
                  </w:pPr>
                  <w:r w:rsidRPr="006326CB">
                    <w:rPr>
                      <w:rFonts w:asciiTheme="minorHAnsi" w:hAnsiTheme="minorHAnsi" w:cstheme="minorHAnsi"/>
                      <w:b/>
                      <w:bCs/>
                      <w:color w:val="000000"/>
                      <w:sz w:val="22"/>
                      <w:szCs w:val="22"/>
                      <w:lang w:eastAsia="en-GB"/>
                    </w:rPr>
                    <w:t>Board Members in Attendance</w:t>
                  </w:r>
                </w:p>
              </w:tc>
            </w:tr>
            <w:tr w:rsidR="00DB1C0E" w:rsidRPr="00DB1C0E" w14:paraId="3BF60B0F" w14:textId="77777777" w:rsidTr="00C573B2">
              <w:trPr>
                <w:trHeight w:val="300"/>
              </w:trPr>
              <w:tc>
                <w:tcPr>
                  <w:tcW w:w="1123" w:type="dxa"/>
                  <w:noWrap/>
                  <w:hideMark/>
                </w:tcPr>
                <w:p w14:paraId="051B940D"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4-Jun</w:t>
                  </w:r>
                </w:p>
              </w:tc>
              <w:tc>
                <w:tcPr>
                  <w:tcW w:w="3505" w:type="dxa"/>
                  <w:noWrap/>
                  <w:hideMark/>
                </w:tcPr>
                <w:p w14:paraId="0E0B6BDA"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 xml:space="preserve">Meeting with NCARB- National Council of Architectural Registration </w:t>
                  </w:r>
                  <w:proofErr w:type="gramStart"/>
                  <w:r w:rsidRPr="006326CB">
                    <w:rPr>
                      <w:rFonts w:asciiTheme="minorHAnsi" w:hAnsiTheme="minorHAnsi" w:cstheme="minorHAnsi"/>
                      <w:color w:val="000000"/>
                      <w:sz w:val="22"/>
                      <w:szCs w:val="22"/>
                      <w:lang w:eastAsia="en-GB"/>
                    </w:rPr>
                    <w:t>Boards  [</w:t>
                  </w:r>
                  <w:proofErr w:type="gramEnd"/>
                  <w:r w:rsidRPr="006326CB">
                    <w:rPr>
                      <w:rFonts w:asciiTheme="minorHAnsi" w:hAnsiTheme="minorHAnsi" w:cstheme="minorHAnsi"/>
                      <w:color w:val="000000"/>
                      <w:sz w:val="22"/>
                      <w:szCs w:val="22"/>
                      <w:lang w:eastAsia="en-GB"/>
                    </w:rPr>
                    <w:t>ARB]</w:t>
                  </w:r>
                </w:p>
              </w:tc>
              <w:tc>
                <w:tcPr>
                  <w:tcW w:w="1774" w:type="dxa"/>
                  <w:noWrap/>
                  <w:hideMark/>
                </w:tcPr>
                <w:p w14:paraId="6735355A"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 xml:space="preserve">EM &amp; Rob Wilson </w:t>
                  </w:r>
                </w:p>
              </w:tc>
              <w:tc>
                <w:tcPr>
                  <w:tcW w:w="2614" w:type="dxa"/>
                  <w:noWrap/>
                  <w:hideMark/>
                </w:tcPr>
                <w:p w14:paraId="7F4CAF82"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 </w:t>
                  </w:r>
                </w:p>
              </w:tc>
            </w:tr>
            <w:tr w:rsidR="00DB1C0E" w:rsidRPr="00DB1C0E" w14:paraId="22CC04CA" w14:textId="77777777" w:rsidTr="00C573B2">
              <w:trPr>
                <w:trHeight w:val="300"/>
              </w:trPr>
              <w:tc>
                <w:tcPr>
                  <w:tcW w:w="1123" w:type="dxa"/>
                  <w:noWrap/>
                </w:tcPr>
                <w:p w14:paraId="6913099A"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7-Jun</w:t>
                  </w:r>
                </w:p>
              </w:tc>
              <w:tc>
                <w:tcPr>
                  <w:tcW w:w="3505" w:type="dxa"/>
                  <w:noWrap/>
                </w:tcPr>
                <w:p w14:paraId="1A6439E8"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Meeting with Chartered Association of Building Engineers [ARB]</w:t>
                  </w:r>
                </w:p>
              </w:tc>
              <w:tc>
                <w:tcPr>
                  <w:tcW w:w="1774" w:type="dxa"/>
                  <w:noWrap/>
                </w:tcPr>
                <w:p w14:paraId="120E2E69"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HS, SH</w:t>
                  </w:r>
                </w:p>
              </w:tc>
              <w:tc>
                <w:tcPr>
                  <w:tcW w:w="2614" w:type="dxa"/>
                  <w:noWrap/>
                </w:tcPr>
                <w:p w14:paraId="45171D4E" w14:textId="77777777" w:rsidR="00DB1C0E" w:rsidRPr="006326CB" w:rsidRDefault="00DB1C0E" w:rsidP="00DB1C0E">
                  <w:pPr>
                    <w:rPr>
                      <w:rFonts w:asciiTheme="minorHAnsi" w:hAnsiTheme="minorHAnsi" w:cstheme="minorHAnsi"/>
                      <w:color w:val="000000"/>
                      <w:sz w:val="22"/>
                      <w:szCs w:val="22"/>
                      <w:lang w:eastAsia="en-GB"/>
                    </w:rPr>
                  </w:pPr>
                </w:p>
              </w:tc>
            </w:tr>
            <w:tr w:rsidR="00DB1C0E" w:rsidRPr="00DB1C0E" w14:paraId="1B4293A1" w14:textId="77777777" w:rsidTr="00C573B2">
              <w:trPr>
                <w:trHeight w:val="300"/>
              </w:trPr>
              <w:tc>
                <w:tcPr>
                  <w:tcW w:w="1123" w:type="dxa"/>
                  <w:noWrap/>
                </w:tcPr>
                <w:p w14:paraId="07E08FDB"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11-Jun</w:t>
                  </w:r>
                </w:p>
              </w:tc>
              <w:tc>
                <w:tcPr>
                  <w:tcW w:w="3505" w:type="dxa"/>
                  <w:noWrap/>
                </w:tcPr>
                <w:p w14:paraId="4CFB6933"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Architects’ Council of Europe (ACE) Roundtable [ARB]</w:t>
                  </w:r>
                </w:p>
              </w:tc>
              <w:tc>
                <w:tcPr>
                  <w:tcW w:w="1774" w:type="dxa"/>
                  <w:noWrap/>
                </w:tcPr>
                <w:p w14:paraId="63FF9C8C"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EM</w:t>
                  </w:r>
                </w:p>
              </w:tc>
              <w:tc>
                <w:tcPr>
                  <w:tcW w:w="2614" w:type="dxa"/>
                  <w:noWrap/>
                </w:tcPr>
                <w:p w14:paraId="60258A96" w14:textId="77777777" w:rsidR="00DB1C0E" w:rsidRPr="006326CB" w:rsidRDefault="00DB1C0E" w:rsidP="00DB1C0E">
                  <w:pPr>
                    <w:rPr>
                      <w:rFonts w:asciiTheme="minorHAnsi" w:hAnsiTheme="minorHAnsi" w:cstheme="minorHAnsi"/>
                      <w:color w:val="000000"/>
                      <w:sz w:val="22"/>
                      <w:szCs w:val="22"/>
                      <w:lang w:eastAsia="en-GB"/>
                    </w:rPr>
                  </w:pPr>
                </w:p>
              </w:tc>
            </w:tr>
            <w:tr w:rsidR="00DB1C0E" w:rsidRPr="00DB1C0E" w14:paraId="7FC01E1C" w14:textId="77777777" w:rsidTr="00C573B2">
              <w:trPr>
                <w:trHeight w:val="300"/>
              </w:trPr>
              <w:tc>
                <w:tcPr>
                  <w:tcW w:w="1123" w:type="dxa"/>
                  <w:noWrap/>
                </w:tcPr>
                <w:p w14:paraId="642659FC"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14-Jun</w:t>
                  </w:r>
                </w:p>
              </w:tc>
              <w:tc>
                <w:tcPr>
                  <w:tcW w:w="3505" w:type="dxa"/>
                  <w:noWrap/>
                </w:tcPr>
                <w:p w14:paraId="2E56F1DD"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Meeting on Equality, Diversity &amp; Inclusion at ARB [ARB / EDI]</w:t>
                  </w:r>
                </w:p>
              </w:tc>
              <w:tc>
                <w:tcPr>
                  <w:tcW w:w="1774" w:type="dxa"/>
                  <w:noWrap/>
                </w:tcPr>
                <w:p w14:paraId="5889728A"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HS, RRH</w:t>
                  </w:r>
                </w:p>
              </w:tc>
              <w:tc>
                <w:tcPr>
                  <w:tcW w:w="2614" w:type="dxa"/>
                  <w:noWrap/>
                </w:tcPr>
                <w:p w14:paraId="2BFC0E5F"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Teri Okoro</w:t>
                  </w:r>
                </w:p>
              </w:tc>
            </w:tr>
            <w:tr w:rsidR="00DB1C0E" w:rsidRPr="00DB1C0E" w14:paraId="061D741B" w14:textId="77777777" w:rsidTr="00C573B2">
              <w:trPr>
                <w:trHeight w:val="300"/>
              </w:trPr>
              <w:tc>
                <w:tcPr>
                  <w:tcW w:w="1123" w:type="dxa"/>
                  <w:noWrap/>
                </w:tcPr>
                <w:p w14:paraId="085022F1"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14-Jun</w:t>
                  </w:r>
                </w:p>
              </w:tc>
              <w:tc>
                <w:tcPr>
                  <w:tcW w:w="3505" w:type="dxa"/>
                  <w:noWrap/>
                </w:tcPr>
                <w:p w14:paraId="05593A51"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Meeting with Chartered Association of Building Engineers [ARB]</w:t>
                  </w:r>
                </w:p>
              </w:tc>
              <w:tc>
                <w:tcPr>
                  <w:tcW w:w="1774" w:type="dxa"/>
                  <w:noWrap/>
                </w:tcPr>
                <w:p w14:paraId="4B1EE2D5"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SH</w:t>
                  </w:r>
                </w:p>
              </w:tc>
              <w:tc>
                <w:tcPr>
                  <w:tcW w:w="2614" w:type="dxa"/>
                  <w:noWrap/>
                </w:tcPr>
                <w:p w14:paraId="7AF0E210" w14:textId="77777777" w:rsidR="00DB1C0E" w:rsidRPr="006326CB" w:rsidRDefault="00DB1C0E" w:rsidP="00DB1C0E">
                  <w:pPr>
                    <w:rPr>
                      <w:rFonts w:asciiTheme="minorHAnsi" w:hAnsiTheme="minorHAnsi" w:cstheme="minorHAnsi"/>
                      <w:color w:val="000000"/>
                      <w:sz w:val="22"/>
                      <w:szCs w:val="22"/>
                      <w:lang w:eastAsia="en-GB"/>
                    </w:rPr>
                  </w:pPr>
                </w:p>
              </w:tc>
            </w:tr>
            <w:tr w:rsidR="00DB1C0E" w:rsidRPr="00DB1C0E" w14:paraId="3FE2DA96" w14:textId="77777777" w:rsidTr="00C573B2">
              <w:trPr>
                <w:trHeight w:val="300"/>
              </w:trPr>
              <w:tc>
                <w:tcPr>
                  <w:tcW w:w="1123" w:type="dxa"/>
                  <w:noWrap/>
                </w:tcPr>
                <w:p w14:paraId="32FBDFB0"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16-Jun</w:t>
                  </w:r>
                </w:p>
              </w:tc>
              <w:tc>
                <w:tcPr>
                  <w:tcW w:w="3505" w:type="dxa"/>
                  <w:noWrap/>
                </w:tcPr>
                <w:p w14:paraId="03C13F67"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Meeting with Architect and FAME representative Siu-Pei to discuss Equality, Diversity &amp; Inclusion at ARB [ARB / EDI]</w:t>
                  </w:r>
                </w:p>
              </w:tc>
              <w:tc>
                <w:tcPr>
                  <w:tcW w:w="1774" w:type="dxa"/>
                  <w:noWrap/>
                </w:tcPr>
                <w:p w14:paraId="27AA0B71"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HS, RRH</w:t>
                  </w:r>
                </w:p>
              </w:tc>
              <w:tc>
                <w:tcPr>
                  <w:tcW w:w="2614" w:type="dxa"/>
                  <w:noWrap/>
                </w:tcPr>
                <w:p w14:paraId="4185AA4B"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Teri Okoro</w:t>
                  </w:r>
                </w:p>
              </w:tc>
            </w:tr>
            <w:tr w:rsidR="00DB1C0E" w:rsidRPr="00DB1C0E" w14:paraId="53059A43" w14:textId="77777777" w:rsidTr="00C573B2">
              <w:trPr>
                <w:trHeight w:val="300"/>
              </w:trPr>
              <w:tc>
                <w:tcPr>
                  <w:tcW w:w="1123" w:type="dxa"/>
                  <w:noWrap/>
                </w:tcPr>
                <w:p w14:paraId="7CE87013"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17-Jun</w:t>
                  </w:r>
                </w:p>
              </w:tc>
              <w:tc>
                <w:tcPr>
                  <w:tcW w:w="3505" w:type="dxa"/>
                  <w:noWrap/>
                </w:tcPr>
                <w:p w14:paraId="7C2082F5"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Meeting with Association for Professional Studies in Architecture [ARB / IET]</w:t>
                  </w:r>
                </w:p>
              </w:tc>
              <w:tc>
                <w:tcPr>
                  <w:tcW w:w="1774" w:type="dxa"/>
                  <w:noWrap/>
                </w:tcPr>
                <w:p w14:paraId="064CED2A"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EM &amp; Lorcan McCormack Lean</w:t>
                  </w:r>
                </w:p>
              </w:tc>
              <w:tc>
                <w:tcPr>
                  <w:tcW w:w="2614" w:type="dxa"/>
                  <w:noWrap/>
                </w:tcPr>
                <w:p w14:paraId="503316FC" w14:textId="77777777" w:rsidR="00DB1C0E" w:rsidRPr="006326CB" w:rsidRDefault="00DB1C0E" w:rsidP="00DB1C0E">
                  <w:pPr>
                    <w:rPr>
                      <w:rFonts w:asciiTheme="minorHAnsi" w:hAnsiTheme="minorHAnsi" w:cstheme="minorHAnsi"/>
                      <w:color w:val="000000"/>
                      <w:sz w:val="22"/>
                      <w:szCs w:val="22"/>
                      <w:lang w:eastAsia="en-GB"/>
                    </w:rPr>
                  </w:pPr>
                </w:p>
              </w:tc>
            </w:tr>
            <w:tr w:rsidR="00DB1C0E" w:rsidRPr="00DB1C0E" w14:paraId="59F5980F" w14:textId="77777777" w:rsidTr="00C573B2">
              <w:trPr>
                <w:trHeight w:val="300"/>
              </w:trPr>
              <w:tc>
                <w:tcPr>
                  <w:tcW w:w="1123" w:type="dxa"/>
                  <w:noWrap/>
                </w:tcPr>
                <w:p w14:paraId="18FBD894"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18-Jun</w:t>
                  </w:r>
                </w:p>
              </w:tc>
              <w:tc>
                <w:tcPr>
                  <w:tcW w:w="3505" w:type="dxa"/>
                  <w:noWrap/>
                </w:tcPr>
                <w:p w14:paraId="10B0703F"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CLC Professional Indemnity Insurance sub-group [ARB]</w:t>
                  </w:r>
                </w:p>
              </w:tc>
              <w:tc>
                <w:tcPr>
                  <w:tcW w:w="1774" w:type="dxa"/>
                  <w:noWrap/>
                </w:tcPr>
                <w:p w14:paraId="5BCEE97E"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SH</w:t>
                  </w:r>
                </w:p>
              </w:tc>
              <w:tc>
                <w:tcPr>
                  <w:tcW w:w="2614" w:type="dxa"/>
                  <w:noWrap/>
                </w:tcPr>
                <w:p w14:paraId="2BE060FD" w14:textId="77777777" w:rsidR="00DB1C0E" w:rsidRPr="006326CB" w:rsidRDefault="00DB1C0E" w:rsidP="00DB1C0E">
                  <w:pPr>
                    <w:rPr>
                      <w:rFonts w:asciiTheme="minorHAnsi" w:hAnsiTheme="minorHAnsi" w:cstheme="minorHAnsi"/>
                      <w:color w:val="000000"/>
                      <w:sz w:val="22"/>
                      <w:szCs w:val="22"/>
                      <w:lang w:eastAsia="en-GB"/>
                    </w:rPr>
                  </w:pPr>
                </w:p>
              </w:tc>
            </w:tr>
            <w:tr w:rsidR="00DB1C0E" w:rsidRPr="00DB1C0E" w14:paraId="7834C86C" w14:textId="77777777" w:rsidTr="00C573B2">
              <w:trPr>
                <w:trHeight w:val="300"/>
              </w:trPr>
              <w:tc>
                <w:tcPr>
                  <w:tcW w:w="1123" w:type="dxa"/>
                  <w:noWrap/>
                </w:tcPr>
                <w:p w14:paraId="3DD76299"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18-Jun</w:t>
                  </w:r>
                </w:p>
              </w:tc>
              <w:tc>
                <w:tcPr>
                  <w:tcW w:w="3505" w:type="dxa"/>
                  <w:noWrap/>
                </w:tcPr>
                <w:p w14:paraId="0AEE57AF"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Competence Review: Working Group 7 Meeting [ARB]</w:t>
                  </w:r>
                </w:p>
              </w:tc>
              <w:tc>
                <w:tcPr>
                  <w:tcW w:w="1774" w:type="dxa"/>
                  <w:noWrap/>
                </w:tcPr>
                <w:p w14:paraId="74A68EB7"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SH</w:t>
                  </w:r>
                </w:p>
              </w:tc>
              <w:tc>
                <w:tcPr>
                  <w:tcW w:w="2614" w:type="dxa"/>
                  <w:noWrap/>
                </w:tcPr>
                <w:p w14:paraId="34BE00E3" w14:textId="77777777" w:rsidR="00DB1C0E" w:rsidRPr="006326CB" w:rsidRDefault="00DB1C0E" w:rsidP="00DB1C0E">
                  <w:pPr>
                    <w:rPr>
                      <w:rFonts w:asciiTheme="minorHAnsi" w:hAnsiTheme="minorHAnsi" w:cstheme="minorHAnsi"/>
                      <w:color w:val="000000"/>
                      <w:sz w:val="22"/>
                      <w:szCs w:val="22"/>
                      <w:lang w:eastAsia="en-GB"/>
                    </w:rPr>
                  </w:pPr>
                </w:p>
              </w:tc>
            </w:tr>
            <w:tr w:rsidR="00DB1C0E" w:rsidRPr="00DB1C0E" w14:paraId="52875AF1" w14:textId="77777777" w:rsidTr="00C573B2">
              <w:trPr>
                <w:trHeight w:val="300"/>
              </w:trPr>
              <w:tc>
                <w:tcPr>
                  <w:tcW w:w="1123" w:type="dxa"/>
                  <w:noWrap/>
                </w:tcPr>
                <w:p w14:paraId="1BF9CDC6"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21-Jun</w:t>
                  </w:r>
                </w:p>
              </w:tc>
              <w:tc>
                <w:tcPr>
                  <w:tcW w:w="3505" w:type="dxa"/>
                  <w:noWrap/>
                </w:tcPr>
                <w:p w14:paraId="5957E631"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Meeting with RIBA to discuss Architects Act [ARB / CPD]</w:t>
                  </w:r>
                </w:p>
              </w:tc>
              <w:tc>
                <w:tcPr>
                  <w:tcW w:w="1774" w:type="dxa"/>
                  <w:noWrap/>
                </w:tcPr>
                <w:p w14:paraId="1C26C7A9"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RRH &amp; James Farrar</w:t>
                  </w:r>
                </w:p>
              </w:tc>
              <w:tc>
                <w:tcPr>
                  <w:tcW w:w="2614" w:type="dxa"/>
                  <w:noWrap/>
                </w:tcPr>
                <w:p w14:paraId="16C65A6A" w14:textId="77777777" w:rsidR="00DB1C0E" w:rsidRPr="006326CB" w:rsidRDefault="00DB1C0E" w:rsidP="00DB1C0E">
                  <w:pPr>
                    <w:rPr>
                      <w:rFonts w:asciiTheme="minorHAnsi" w:hAnsiTheme="minorHAnsi" w:cstheme="minorHAnsi"/>
                      <w:color w:val="000000"/>
                      <w:sz w:val="22"/>
                      <w:szCs w:val="22"/>
                      <w:lang w:eastAsia="en-GB"/>
                    </w:rPr>
                  </w:pPr>
                </w:p>
              </w:tc>
            </w:tr>
            <w:tr w:rsidR="00DB1C0E" w:rsidRPr="00DB1C0E" w14:paraId="13CEC8A2" w14:textId="77777777" w:rsidTr="00C573B2">
              <w:trPr>
                <w:trHeight w:val="300"/>
              </w:trPr>
              <w:tc>
                <w:tcPr>
                  <w:tcW w:w="1123" w:type="dxa"/>
                  <w:noWrap/>
                </w:tcPr>
                <w:p w14:paraId="2DB89F80"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25-Jun</w:t>
                  </w:r>
                </w:p>
              </w:tc>
              <w:tc>
                <w:tcPr>
                  <w:tcW w:w="3505" w:type="dxa"/>
                  <w:noWrap/>
                </w:tcPr>
                <w:p w14:paraId="1ECBC413"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Meeting with Standing Conference of Heads of Schools of Architecture [ARB/ IET]</w:t>
                  </w:r>
                </w:p>
              </w:tc>
              <w:tc>
                <w:tcPr>
                  <w:tcW w:w="1774" w:type="dxa"/>
                  <w:noWrap/>
                </w:tcPr>
                <w:p w14:paraId="0A2DC6D3"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BJ, Grant Dyble &amp; Michelle Wright</w:t>
                  </w:r>
                </w:p>
              </w:tc>
              <w:tc>
                <w:tcPr>
                  <w:tcW w:w="2614" w:type="dxa"/>
                  <w:noWrap/>
                </w:tcPr>
                <w:p w14:paraId="19314FCA" w14:textId="77777777" w:rsidR="00DB1C0E" w:rsidRPr="006326CB" w:rsidRDefault="00DB1C0E" w:rsidP="00DB1C0E">
                  <w:pPr>
                    <w:rPr>
                      <w:rFonts w:asciiTheme="minorHAnsi" w:hAnsiTheme="minorHAnsi" w:cstheme="minorHAnsi"/>
                      <w:color w:val="000000"/>
                      <w:sz w:val="22"/>
                      <w:szCs w:val="22"/>
                      <w:lang w:eastAsia="en-GB"/>
                    </w:rPr>
                  </w:pPr>
                </w:p>
              </w:tc>
            </w:tr>
            <w:tr w:rsidR="00DB1C0E" w:rsidRPr="00DB1C0E" w14:paraId="2D1965A4" w14:textId="77777777" w:rsidTr="00C573B2">
              <w:trPr>
                <w:trHeight w:val="300"/>
              </w:trPr>
              <w:tc>
                <w:tcPr>
                  <w:tcW w:w="1123" w:type="dxa"/>
                  <w:noWrap/>
                </w:tcPr>
                <w:p w14:paraId="7EF3B6EE"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29-Jun</w:t>
                  </w:r>
                </w:p>
              </w:tc>
              <w:tc>
                <w:tcPr>
                  <w:tcW w:w="3505" w:type="dxa"/>
                  <w:noWrap/>
                </w:tcPr>
                <w:p w14:paraId="66BDBE9F"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 xml:space="preserve">Meeting of Department of Business, </w:t>
                  </w:r>
                  <w:proofErr w:type="gramStart"/>
                  <w:r w:rsidRPr="006326CB">
                    <w:rPr>
                      <w:rFonts w:asciiTheme="minorHAnsi" w:hAnsiTheme="minorHAnsi" w:cstheme="minorHAnsi"/>
                      <w:color w:val="000000"/>
                      <w:sz w:val="22"/>
                      <w:szCs w:val="22"/>
                      <w:lang w:eastAsia="en-GB"/>
                    </w:rPr>
                    <w:t>Energy</w:t>
                  </w:r>
                  <w:proofErr w:type="gramEnd"/>
                  <w:r w:rsidRPr="006326CB">
                    <w:rPr>
                      <w:rFonts w:asciiTheme="minorHAnsi" w:hAnsiTheme="minorHAnsi" w:cstheme="minorHAnsi"/>
                      <w:color w:val="000000"/>
                      <w:sz w:val="22"/>
                      <w:szCs w:val="22"/>
                      <w:lang w:eastAsia="en-GB"/>
                    </w:rPr>
                    <w:t xml:space="preserve"> and Industrial Strategy’s (BEIS) Trade Technical Group (Provision of Business Services) [ARB]</w:t>
                  </w:r>
                </w:p>
              </w:tc>
              <w:tc>
                <w:tcPr>
                  <w:tcW w:w="1774" w:type="dxa"/>
                  <w:noWrap/>
                </w:tcPr>
                <w:p w14:paraId="1846C4D6"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EM</w:t>
                  </w:r>
                </w:p>
              </w:tc>
              <w:tc>
                <w:tcPr>
                  <w:tcW w:w="2614" w:type="dxa"/>
                  <w:noWrap/>
                </w:tcPr>
                <w:p w14:paraId="6DFA0EDF" w14:textId="77777777" w:rsidR="00DB1C0E" w:rsidRPr="006326CB" w:rsidRDefault="00DB1C0E" w:rsidP="00DB1C0E">
                  <w:pPr>
                    <w:rPr>
                      <w:rFonts w:asciiTheme="minorHAnsi" w:hAnsiTheme="minorHAnsi" w:cstheme="minorHAnsi"/>
                      <w:color w:val="000000"/>
                      <w:sz w:val="22"/>
                      <w:szCs w:val="22"/>
                      <w:lang w:eastAsia="en-GB"/>
                    </w:rPr>
                  </w:pPr>
                </w:p>
              </w:tc>
            </w:tr>
            <w:tr w:rsidR="00DB1C0E" w:rsidRPr="00DB1C0E" w14:paraId="16DFA2B9" w14:textId="77777777" w:rsidTr="00C573B2">
              <w:trPr>
                <w:trHeight w:val="300"/>
              </w:trPr>
              <w:tc>
                <w:tcPr>
                  <w:tcW w:w="1123" w:type="dxa"/>
                  <w:noWrap/>
                </w:tcPr>
                <w:p w14:paraId="425D1C52"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29-June</w:t>
                  </w:r>
                </w:p>
              </w:tc>
              <w:tc>
                <w:tcPr>
                  <w:tcW w:w="3505" w:type="dxa"/>
                  <w:noWrap/>
                </w:tcPr>
                <w:p w14:paraId="0914442B"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Meeting with the founders of the Future Architects Front [ARB / EDI]</w:t>
                  </w:r>
                </w:p>
              </w:tc>
              <w:tc>
                <w:tcPr>
                  <w:tcW w:w="1774" w:type="dxa"/>
                  <w:noWrap/>
                </w:tcPr>
                <w:p w14:paraId="6987D8F2"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RRH, SH</w:t>
                  </w:r>
                </w:p>
              </w:tc>
              <w:tc>
                <w:tcPr>
                  <w:tcW w:w="2614" w:type="dxa"/>
                  <w:noWrap/>
                </w:tcPr>
                <w:p w14:paraId="1B9AA604" w14:textId="77777777" w:rsidR="00DB1C0E" w:rsidRPr="006326CB" w:rsidRDefault="00DB1C0E" w:rsidP="00DB1C0E">
                  <w:pPr>
                    <w:rPr>
                      <w:rFonts w:asciiTheme="minorHAnsi" w:hAnsiTheme="minorHAnsi" w:cstheme="minorHAnsi"/>
                      <w:color w:val="000000"/>
                      <w:sz w:val="22"/>
                      <w:szCs w:val="22"/>
                      <w:lang w:eastAsia="en-GB"/>
                    </w:rPr>
                  </w:pPr>
                </w:p>
              </w:tc>
            </w:tr>
            <w:tr w:rsidR="00DB1C0E" w:rsidRPr="00DB1C0E" w14:paraId="6574599C" w14:textId="77777777" w:rsidTr="00C573B2">
              <w:trPr>
                <w:trHeight w:val="300"/>
              </w:trPr>
              <w:tc>
                <w:tcPr>
                  <w:tcW w:w="1123" w:type="dxa"/>
                  <w:noWrap/>
                </w:tcPr>
                <w:p w14:paraId="1C7260AF"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29-Jun</w:t>
                  </w:r>
                </w:p>
              </w:tc>
              <w:tc>
                <w:tcPr>
                  <w:tcW w:w="3505" w:type="dxa"/>
                  <w:noWrap/>
                </w:tcPr>
                <w:p w14:paraId="6AF3EC5E"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 xml:space="preserve">Attendance at RIBA’s Future Architects Group meeting [ARB / EDI] </w:t>
                  </w:r>
                </w:p>
              </w:tc>
              <w:tc>
                <w:tcPr>
                  <w:tcW w:w="1774" w:type="dxa"/>
                  <w:noWrap/>
                </w:tcPr>
                <w:p w14:paraId="2ABFC757" w14:textId="77777777" w:rsidR="00DB1C0E" w:rsidRPr="006326CB" w:rsidRDefault="00DB1C0E"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RRH, SH</w:t>
                  </w:r>
                </w:p>
              </w:tc>
              <w:tc>
                <w:tcPr>
                  <w:tcW w:w="2614" w:type="dxa"/>
                  <w:noWrap/>
                </w:tcPr>
                <w:p w14:paraId="1A4F0B61" w14:textId="77777777" w:rsidR="00DB1C0E" w:rsidRPr="006326CB" w:rsidRDefault="00DB1C0E" w:rsidP="00DB1C0E">
                  <w:pPr>
                    <w:rPr>
                      <w:rFonts w:asciiTheme="minorHAnsi" w:hAnsiTheme="minorHAnsi" w:cstheme="minorHAnsi"/>
                      <w:color w:val="000000"/>
                      <w:sz w:val="22"/>
                      <w:szCs w:val="22"/>
                      <w:lang w:eastAsia="en-GB"/>
                    </w:rPr>
                  </w:pPr>
                </w:p>
              </w:tc>
            </w:tr>
            <w:tr w:rsidR="001E4219" w:rsidRPr="00DB1C0E" w14:paraId="484839BE" w14:textId="77777777" w:rsidTr="00632301">
              <w:trPr>
                <w:trHeight w:val="300"/>
              </w:trPr>
              <w:tc>
                <w:tcPr>
                  <w:tcW w:w="1123" w:type="dxa"/>
                  <w:noWrap/>
                </w:tcPr>
                <w:p w14:paraId="318CD036" w14:textId="785A667C" w:rsidR="001E4219" w:rsidRPr="006326CB" w:rsidRDefault="001E4219" w:rsidP="00632301">
                  <w:pPr>
                    <w:rPr>
                      <w:rFonts w:asciiTheme="minorHAnsi" w:hAnsiTheme="minorHAnsi" w:cstheme="minorHAnsi"/>
                      <w:color w:val="000000"/>
                      <w:sz w:val="22"/>
                      <w:szCs w:val="22"/>
                      <w:lang w:eastAsia="en-GB"/>
                    </w:rPr>
                  </w:pPr>
                  <w:r w:rsidRPr="006326CB">
                    <w:rPr>
                      <w:rFonts w:asciiTheme="minorHAnsi" w:hAnsiTheme="minorHAnsi" w:cstheme="minorHAnsi"/>
                      <w:sz w:val="22"/>
                      <w:szCs w:val="22"/>
                    </w:rPr>
                    <w:t>1 July</w:t>
                  </w:r>
                </w:p>
              </w:tc>
              <w:tc>
                <w:tcPr>
                  <w:tcW w:w="3505" w:type="dxa"/>
                  <w:noWrap/>
                </w:tcPr>
                <w:p w14:paraId="021C72A0" w14:textId="5D162683" w:rsidR="001E4219" w:rsidRPr="006326CB" w:rsidRDefault="001E4219" w:rsidP="00632301">
                  <w:pPr>
                    <w:rPr>
                      <w:rFonts w:asciiTheme="minorHAnsi" w:hAnsiTheme="minorHAnsi" w:cstheme="minorHAnsi"/>
                      <w:color w:val="000000"/>
                      <w:sz w:val="22"/>
                      <w:szCs w:val="22"/>
                      <w:lang w:eastAsia="en-GB"/>
                    </w:rPr>
                  </w:pPr>
                  <w:r w:rsidRPr="006326CB">
                    <w:rPr>
                      <w:rFonts w:asciiTheme="minorHAnsi" w:hAnsiTheme="minorHAnsi" w:cstheme="minorHAnsi"/>
                      <w:sz w:val="22"/>
                      <w:szCs w:val="22"/>
                    </w:rPr>
                    <w:t>Brian Martin, Head of Technical Policy, MHCLG</w:t>
                  </w:r>
                </w:p>
              </w:tc>
              <w:tc>
                <w:tcPr>
                  <w:tcW w:w="1774" w:type="dxa"/>
                  <w:noWrap/>
                </w:tcPr>
                <w:p w14:paraId="186610C9" w14:textId="175ADC0F" w:rsidR="001E4219" w:rsidRPr="006326CB" w:rsidRDefault="001E4219" w:rsidP="00632301">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HS</w:t>
                  </w:r>
                </w:p>
              </w:tc>
              <w:tc>
                <w:tcPr>
                  <w:tcW w:w="2614" w:type="dxa"/>
                  <w:noWrap/>
                </w:tcPr>
                <w:p w14:paraId="1E9EAC64" w14:textId="77777777" w:rsidR="001E4219" w:rsidRPr="006326CB" w:rsidRDefault="001E4219" w:rsidP="00632301">
                  <w:pPr>
                    <w:rPr>
                      <w:rFonts w:asciiTheme="minorHAnsi" w:hAnsiTheme="minorHAnsi" w:cstheme="minorHAnsi"/>
                      <w:color w:val="000000"/>
                      <w:sz w:val="22"/>
                      <w:szCs w:val="22"/>
                      <w:lang w:eastAsia="en-GB"/>
                    </w:rPr>
                  </w:pPr>
                </w:p>
              </w:tc>
            </w:tr>
            <w:tr w:rsidR="001E4219" w:rsidRPr="00DB1C0E" w14:paraId="76A8674F" w14:textId="77777777" w:rsidTr="00632301">
              <w:trPr>
                <w:trHeight w:val="300"/>
              </w:trPr>
              <w:tc>
                <w:tcPr>
                  <w:tcW w:w="1123" w:type="dxa"/>
                  <w:noWrap/>
                </w:tcPr>
                <w:p w14:paraId="15DBF775" w14:textId="7ECE8937" w:rsidR="001E4219" w:rsidRPr="006326CB" w:rsidRDefault="001E4219" w:rsidP="00632301">
                  <w:pPr>
                    <w:rPr>
                      <w:rFonts w:asciiTheme="minorHAnsi" w:hAnsiTheme="minorHAnsi" w:cstheme="minorHAnsi"/>
                      <w:color w:val="000000"/>
                      <w:sz w:val="22"/>
                      <w:szCs w:val="22"/>
                      <w:lang w:eastAsia="en-GB"/>
                    </w:rPr>
                  </w:pPr>
                  <w:r w:rsidRPr="006326CB">
                    <w:rPr>
                      <w:rFonts w:asciiTheme="minorHAnsi" w:hAnsiTheme="minorHAnsi" w:cstheme="minorHAnsi"/>
                      <w:sz w:val="22"/>
                      <w:szCs w:val="22"/>
                    </w:rPr>
                    <w:t>6 July</w:t>
                  </w:r>
                </w:p>
              </w:tc>
              <w:tc>
                <w:tcPr>
                  <w:tcW w:w="3505" w:type="dxa"/>
                  <w:noWrap/>
                </w:tcPr>
                <w:p w14:paraId="32B0F748" w14:textId="065E914B" w:rsidR="001E4219" w:rsidRPr="006326CB" w:rsidRDefault="001E4219" w:rsidP="00632301">
                  <w:pPr>
                    <w:rPr>
                      <w:rFonts w:asciiTheme="minorHAnsi" w:hAnsiTheme="minorHAnsi" w:cstheme="minorHAnsi"/>
                      <w:color w:val="000000"/>
                      <w:sz w:val="22"/>
                      <w:szCs w:val="22"/>
                      <w:lang w:eastAsia="en-GB"/>
                    </w:rPr>
                  </w:pPr>
                  <w:r w:rsidRPr="006326CB">
                    <w:rPr>
                      <w:rFonts w:asciiTheme="minorHAnsi" w:hAnsiTheme="minorHAnsi" w:cstheme="minorHAnsi"/>
                      <w:sz w:val="22"/>
                      <w:szCs w:val="22"/>
                    </w:rPr>
                    <w:t>Peter Baker, Chief Inspector, Building Safety Regulator</w:t>
                  </w:r>
                </w:p>
              </w:tc>
              <w:tc>
                <w:tcPr>
                  <w:tcW w:w="1774" w:type="dxa"/>
                  <w:noWrap/>
                </w:tcPr>
                <w:p w14:paraId="4A0B4C56" w14:textId="1890BB7E" w:rsidR="001E4219" w:rsidRPr="006326CB" w:rsidRDefault="001E4219" w:rsidP="00632301">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HS, SH</w:t>
                  </w:r>
                </w:p>
              </w:tc>
              <w:tc>
                <w:tcPr>
                  <w:tcW w:w="2614" w:type="dxa"/>
                  <w:noWrap/>
                </w:tcPr>
                <w:p w14:paraId="2E7C6E83" w14:textId="77777777" w:rsidR="001E4219" w:rsidRPr="006326CB" w:rsidRDefault="001E4219" w:rsidP="00632301">
                  <w:pPr>
                    <w:rPr>
                      <w:rFonts w:asciiTheme="minorHAnsi" w:hAnsiTheme="minorHAnsi" w:cstheme="minorHAnsi"/>
                      <w:color w:val="000000"/>
                      <w:sz w:val="22"/>
                      <w:szCs w:val="22"/>
                      <w:lang w:eastAsia="en-GB"/>
                    </w:rPr>
                  </w:pPr>
                </w:p>
              </w:tc>
            </w:tr>
            <w:tr w:rsidR="001E4219" w:rsidRPr="00DB1C0E" w14:paraId="63AEA9CA" w14:textId="77777777" w:rsidTr="00C573B2">
              <w:trPr>
                <w:trHeight w:val="300"/>
              </w:trPr>
              <w:tc>
                <w:tcPr>
                  <w:tcW w:w="1123" w:type="dxa"/>
                  <w:noWrap/>
                </w:tcPr>
                <w:p w14:paraId="0E5FF3B2" w14:textId="0BBA9B4E" w:rsidR="001E4219" w:rsidRPr="006326CB" w:rsidRDefault="001E4219"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7 July</w:t>
                  </w:r>
                </w:p>
              </w:tc>
              <w:tc>
                <w:tcPr>
                  <w:tcW w:w="3505" w:type="dxa"/>
                  <w:noWrap/>
                </w:tcPr>
                <w:p w14:paraId="12149948" w14:textId="7390037C" w:rsidR="001E4219" w:rsidRPr="006326CB" w:rsidRDefault="001E4219"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 xml:space="preserve">Andy Von </w:t>
                  </w:r>
                  <w:proofErr w:type="spellStart"/>
                  <w:r w:rsidRPr="006326CB">
                    <w:rPr>
                      <w:rFonts w:asciiTheme="minorHAnsi" w:hAnsiTheme="minorHAnsi" w:cstheme="minorHAnsi"/>
                      <w:color w:val="000000"/>
                      <w:sz w:val="22"/>
                      <w:szCs w:val="22"/>
                      <w:lang w:eastAsia="en-GB"/>
                    </w:rPr>
                    <w:t>Bradsky</w:t>
                  </w:r>
                  <w:proofErr w:type="spellEnd"/>
                  <w:r w:rsidRPr="006326CB">
                    <w:rPr>
                      <w:rFonts w:asciiTheme="minorHAnsi" w:hAnsiTheme="minorHAnsi" w:cstheme="minorHAnsi"/>
                      <w:color w:val="000000"/>
                      <w:sz w:val="22"/>
                      <w:szCs w:val="22"/>
                      <w:lang w:eastAsia="en-GB"/>
                    </w:rPr>
                    <w:t>, Head of Architecture, MHCLG</w:t>
                  </w:r>
                </w:p>
              </w:tc>
              <w:tc>
                <w:tcPr>
                  <w:tcW w:w="1774" w:type="dxa"/>
                  <w:noWrap/>
                </w:tcPr>
                <w:p w14:paraId="3B4919AD" w14:textId="6D1451BE" w:rsidR="001E4219" w:rsidRPr="006326CB" w:rsidRDefault="001E4219"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HS</w:t>
                  </w:r>
                </w:p>
              </w:tc>
              <w:tc>
                <w:tcPr>
                  <w:tcW w:w="2614" w:type="dxa"/>
                  <w:noWrap/>
                </w:tcPr>
                <w:p w14:paraId="7E6AD65D" w14:textId="1D1C4381" w:rsidR="001E4219" w:rsidRPr="006326CB" w:rsidRDefault="001E4219" w:rsidP="00DB1C0E">
                  <w:pPr>
                    <w:rPr>
                      <w:rFonts w:asciiTheme="minorHAnsi" w:hAnsiTheme="minorHAnsi" w:cstheme="minorHAnsi"/>
                      <w:color w:val="000000"/>
                      <w:sz w:val="22"/>
                      <w:szCs w:val="22"/>
                      <w:lang w:eastAsia="en-GB"/>
                    </w:rPr>
                  </w:pPr>
                  <w:r w:rsidRPr="006326CB">
                    <w:rPr>
                      <w:rFonts w:asciiTheme="minorHAnsi" w:hAnsiTheme="minorHAnsi" w:cstheme="minorHAnsi"/>
                      <w:color w:val="000000"/>
                      <w:sz w:val="22"/>
                      <w:szCs w:val="22"/>
                      <w:lang w:eastAsia="en-GB"/>
                    </w:rPr>
                    <w:t>Alan Kershaw</w:t>
                  </w:r>
                </w:p>
              </w:tc>
            </w:tr>
          </w:tbl>
          <w:p w14:paraId="3B9E998D" w14:textId="77777777" w:rsidR="00DB1C0E" w:rsidRPr="00DB1C0E" w:rsidRDefault="00DB1C0E" w:rsidP="00DB1C0E">
            <w:pPr>
              <w:rPr>
                <w:rFonts w:asciiTheme="minorHAnsi" w:hAnsiTheme="minorHAnsi" w:cstheme="minorHAnsi"/>
              </w:rPr>
            </w:pPr>
          </w:p>
          <w:p w14:paraId="17DE4B2E" w14:textId="77777777" w:rsidR="006326CB" w:rsidRDefault="006326CB" w:rsidP="00DB1C0E">
            <w:pPr>
              <w:rPr>
                <w:rFonts w:asciiTheme="minorHAnsi" w:hAnsiTheme="minorHAnsi" w:cstheme="minorHAnsi"/>
                <w:b/>
                <w:bCs/>
                <w:sz w:val="28"/>
                <w:szCs w:val="28"/>
              </w:rPr>
            </w:pPr>
          </w:p>
          <w:p w14:paraId="2C957C7C" w14:textId="77777777" w:rsidR="006326CB" w:rsidRDefault="006326CB" w:rsidP="00DB1C0E">
            <w:pPr>
              <w:rPr>
                <w:rFonts w:asciiTheme="minorHAnsi" w:hAnsiTheme="minorHAnsi" w:cstheme="minorHAnsi"/>
                <w:b/>
                <w:bCs/>
                <w:sz w:val="28"/>
                <w:szCs w:val="28"/>
              </w:rPr>
            </w:pPr>
          </w:p>
          <w:p w14:paraId="022E6443" w14:textId="77777777" w:rsidR="006326CB" w:rsidRDefault="006326CB" w:rsidP="00DB1C0E">
            <w:pPr>
              <w:rPr>
                <w:rFonts w:asciiTheme="minorHAnsi" w:hAnsiTheme="minorHAnsi" w:cstheme="minorHAnsi"/>
                <w:b/>
                <w:bCs/>
                <w:sz w:val="28"/>
                <w:szCs w:val="28"/>
              </w:rPr>
            </w:pPr>
          </w:p>
          <w:p w14:paraId="0FDF5F15" w14:textId="7DD57D21" w:rsidR="00DB1C0E" w:rsidRPr="00DB1C0E" w:rsidRDefault="00DB1C0E" w:rsidP="00DB1C0E">
            <w:pPr>
              <w:rPr>
                <w:rFonts w:asciiTheme="minorHAnsi" w:hAnsiTheme="minorHAnsi" w:cstheme="minorHAnsi"/>
                <w:b/>
                <w:bCs/>
                <w:sz w:val="28"/>
                <w:szCs w:val="28"/>
              </w:rPr>
            </w:pPr>
            <w:r w:rsidRPr="00DB1C0E">
              <w:rPr>
                <w:rFonts w:asciiTheme="minorHAnsi" w:hAnsiTheme="minorHAnsi" w:cstheme="minorHAnsi"/>
                <w:b/>
                <w:bCs/>
                <w:sz w:val="28"/>
                <w:szCs w:val="28"/>
              </w:rPr>
              <w:lastRenderedPageBreak/>
              <w:t>Engagement with the profession</w:t>
            </w:r>
          </w:p>
          <w:p w14:paraId="074F5C55" w14:textId="77777777" w:rsidR="00DB1C0E" w:rsidRPr="00DB1C0E" w:rsidRDefault="00DB1C0E" w:rsidP="00DB1C0E">
            <w:pPr>
              <w:rPr>
                <w:rFonts w:asciiTheme="minorHAnsi" w:hAnsiTheme="minorHAnsi" w:cstheme="minorHAnsi"/>
                <w:b/>
                <w:bCs/>
                <w:sz w:val="28"/>
                <w:szCs w:val="28"/>
              </w:rPr>
            </w:pPr>
          </w:p>
          <w:p w14:paraId="0A95E919"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 xml:space="preserve">Architects Engagement Group: </w:t>
            </w:r>
          </w:p>
          <w:p w14:paraId="341C0ABF" w14:textId="77777777" w:rsidR="00DB1C0E" w:rsidRPr="00DB1C0E" w:rsidRDefault="00DB1C0E" w:rsidP="00DB1C0E">
            <w:pPr>
              <w:pStyle w:val="ListParagraph"/>
              <w:numPr>
                <w:ilvl w:val="0"/>
                <w:numId w:val="41"/>
              </w:numPr>
              <w:rPr>
                <w:rFonts w:asciiTheme="minorHAnsi" w:eastAsia="Times New Roman" w:hAnsiTheme="minorHAnsi" w:cstheme="minorHAnsi"/>
              </w:rPr>
            </w:pPr>
            <w:r w:rsidRPr="00DB1C0E">
              <w:rPr>
                <w:rFonts w:asciiTheme="minorHAnsi" w:eastAsia="Times New Roman" w:hAnsiTheme="minorHAnsi" w:cstheme="minorHAnsi"/>
              </w:rPr>
              <w:t>There are currently 184 members of the group; 173 of these joined the group directly and an additional 11 joined when they completed the consultation on guidance for institutions. The demographic details below cover only the 173 who joined the group directly.</w:t>
            </w:r>
          </w:p>
          <w:p w14:paraId="32D510BD" w14:textId="77777777" w:rsidR="00DB1C0E" w:rsidRPr="00DB1C0E" w:rsidRDefault="00DB1C0E" w:rsidP="00DB1C0E">
            <w:pPr>
              <w:pStyle w:val="ListParagraph"/>
              <w:numPr>
                <w:ilvl w:val="0"/>
                <w:numId w:val="41"/>
              </w:numPr>
              <w:rPr>
                <w:rFonts w:asciiTheme="minorHAnsi" w:eastAsia="Times New Roman" w:hAnsiTheme="minorHAnsi" w:cstheme="minorHAnsi"/>
              </w:rPr>
            </w:pPr>
            <w:r w:rsidRPr="00DB1C0E">
              <w:rPr>
                <w:rFonts w:asciiTheme="minorHAnsi" w:eastAsia="Times New Roman" w:hAnsiTheme="minorHAnsi" w:cstheme="minorHAnsi"/>
              </w:rPr>
              <w:t xml:space="preserve">66% of members are White but all ethnic groups are </w:t>
            </w:r>
            <w:proofErr w:type="gramStart"/>
            <w:r w:rsidRPr="00DB1C0E">
              <w:rPr>
                <w:rFonts w:asciiTheme="minorHAnsi" w:eastAsia="Times New Roman" w:hAnsiTheme="minorHAnsi" w:cstheme="minorHAnsi"/>
              </w:rPr>
              <w:t>represented;</w:t>
            </w:r>
            <w:proofErr w:type="gramEnd"/>
          </w:p>
          <w:p w14:paraId="32EFE3D9" w14:textId="77777777" w:rsidR="00DB1C0E" w:rsidRPr="00DB1C0E" w:rsidRDefault="00DB1C0E" w:rsidP="00DB1C0E">
            <w:pPr>
              <w:pStyle w:val="ListParagraph"/>
              <w:numPr>
                <w:ilvl w:val="0"/>
                <w:numId w:val="41"/>
              </w:numPr>
              <w:rPr>
                <w:rFonts w:asciiTheme="minorHAnsi" w:eastAsia="Times New Roman" w:hAnsiTheme="minorHAnsi" w:cstheme="minorHAnsi"/>
              </w:rPr>
            </w:pPr>
            <w:r w:rsidRPr="00DB1C0E">
              <w:rPr>
                <w:rFonts w:asciiTheme="minorHAnsi" w:eastAsia="Times New Roman" w:hAnsiTheme="minorHAnsi" w:cstheme="minorHAnsi"/>
              </w:rPr>
              <w:t xml:space="preserve">49% are based in London or the </w:t>
            </w:r>
            <w:proofErr w:type="gramStart"/>
            <w:r w:rsidRPr="00DB1C0E">
              <w:rPr>
                <w:rFonts w:asciiTheme="minorHAnsi" w:eastAsia="Times New Roman" w:hAnsiTheme="minorHAnsi" w:cstheme="minorHAnsi"/>
              </w:rPr>
              <w:t>South East</w:t>
            </w:r>
            <w:proofErr w:type="gramEnd"/>
            <w:r w:rsidRPr="00DB1C0E">
              <w:rPr>
                <w:rFonts w:asciiTheme="minorHAnsi" w:eastAsia="Times New Roman" w:hAnsiTheme="minorHAnsi" w:cstheme="minorHAnsi"/>
              </w:rPr>
              <w:t xml:space="preserve"> but all nations and regions are represented</w:t>
            </w:r>
          </w:p>
          <w:p w14:paraId="3804D6B9" w14:textId="77777777" w:rsidR="00DB1C0E" w:rsidRPr="00DB1C0E" w:rsidRDefault="00DB1C0E" w:rsidP="00DB1C0E">
            <w:pPr>
              <w:pStyle w:val="ListParagraph"/>
              <w:numPr>
                <w:ilvl w:val="0"/>
                <w:numId w:val="41"/>
              </w:numPr>
              <w:rPr>
                <w:rFonts w:asciiTheme="minorHAnsi" w:eastAsia="Times New Roman" w:hAnsiTheme="minorHAnsi" w:cstheme="minorHAnsi"/>
              </w:rPr>
            </w:pPr>
            <w:r w:rsidRPr="00DB1C0E">
              <w:rPr>
                <w:rFonts w:asciiTheme="minorHAnsi" w:eastAsia="Times New Roman" w:hAnsiTheme="minorHAnsi" w:cstheme="minorHAnsi"/>
              </w:rPr>
              <w:t xml:space="preserve">58% are male and 39% are </w:t>
            </w:r>
            <w:proofErr w:type="gramStart"/>
            <w:r w:rsidRPr="00DB1C0E">
              <w:rPr>
                <w:rFonts w:asciiTheme="minorHAnsi" w:eastAsia="Times New Roman" w:hAnsiTheme="minorHAnsi" w:cstheme="minorHAnsi"/>
              </w:rPr>
              <w:t>female;</w:t>
            </w:r>
            <w:proofErr w:type="gramEnd"/>
          </w:p>
          <w:p w14:paraId="2CAE3759" w14:textId="77777777" w:rsidR="00DB1C0E" w:rsidRPr="00DB1C0E" w:rsidRDefault="00DB1C0E" w:rsidP="00DB1C0E">
            <w:pPr>
              <w:pStyle w:val="ListParagraph"/>
              <w:numPr>
                <w:ilvl w:val="0"/>
                <w:numId w:val="41"/>
              </w:numPr>
              <w:rPr>
                <w:rFonts w:asciiTheme="minorHAnsi" w:eastAsia="Times New Roman" w:hAnsiTheme="minorHAnsi" w:cstheme="minorHAnsi"/>
              </w:rPr>
            </w:pPr>
            <w:r w:rsidRPr="00DB1C0E">
              <w:rPr>
                <w:rFonts w:asciiTheme="minorHAnsi" w:eastAsia="Times New Roman" w:hAnsiTheme="minorHAnsi" w:cstheme="minorHAnsi"/>
              </w:rPr>
              <w:t>69% are registered architects; the group also includes students, academics, architectural consultants and Part 3 candidates, and other built environment professionals.</w:t>
            </w:r>
          </w:p>
          <w:p w14:paraId="328E1764" w14:textId="77777777" w:rsidR="00DB1C0E" w:rsidRPr="00DB1C0E" w:rsidRDefault="00DB1C0E" w:rsidP="00DB1C0E">
            <w:pPr>
              <w:rPr>
                <w:rFonts w:asciiTheme="minorHAnsi" w:hAnsiTheme="minorHAnsi" w:cstheme="minorHAnsi"/>
              </w:rPr>
            </w:pPr>
          </w:p>
          <w:p w14:paraId="10242ACD" w14:textId="77777777" w:rsidR="00DB1C0E" w:rsidRPr="00DB1C0E" w:rsidRDefault="00DB1C0E" w:rsidP="00DB1C0E">
            <w:pPr>
              <w:pStyle w:val="ListParagraph"/>
              <w:numPr>
                <w:ilvl w:val="0"/>
                <w:numId w:val="41"/>
              </w:numPr>
              <w:rPr>
                <w:rFonts w:asciiTheme="minorHAnsi" w:hAnsiTheme="minorHAnsi" w:cstheme="minorHAnsi"/>
              </w:rPr>
            </w:pPr>
            <w:r w:rsidRPr="00DB1C0E">
              <w:rPr>
                <w:rFonts w:asciiTheme="minorHAnsi" w:hAnsiTheme="minorHAnsi" w:cstheme="minorHAnsi"/>
              </w:rPr>
              <w:t xml:space="preserve">We met three members of the Architects Engagement Group to seek feedback on key messages and policy aims. This was helpful and constructive, enabling us to use their valuable feedback to re-develop these messages and aims. </w:t>
            </w:r>
            <w:r w:rsidRPr="00DB1C0E">
              <w:rPr>
                <w:rFonts w:asciiTheme="minorHAnsi" w:hAnsiTheme="minorHAnsi" w:cstheme="minorHAnsi"/>
                <w:i/>
                <w:iCs/>
              </w:rPr>
              <w:t>[ARB / CPD / IET / EDI]</w:t>
            </w:r>
          </w:p>
          <w:p w14:paraId="568ABB49" w14:textId="77777777" w:rsidR="00DB1C0E" w:rsidRPr="00DB1C0E" w:rsidRDefault="00DB1C0E" w:rsidP="00DB1C0E">
            <w:pPr>
              <w:rPr>
                <w:rFonts w:asciiTheme="minorHAnsi" w:hAnsiTheme="minorHAnsi" w:cstheme="minorHAnsi"/>
              </w:rPr>
            </w:pPr>
          </w:p>
          <w:p w14:paraId="233FBDEE" w14:textId="77777777" w:rsidR="00DB1C0E" w:rsidRPr="00DB1C0E" w:rsidRDefault="00DB1C0E" w:rsidP="00DB1C0E">
            <w:pPr>
              <w:rPr>
                <w:rFonts w:asciiTheme="minorHAnsi" w:hAnsiTheme="minorHAnsi" w:cstheme="minorHAnsi"/>
              </w:rPr>
            </w:pPr>
          </w:p>
          <w:p w14:paraId="5F662834" w14:textId="77777777" w:rsidR="00DB1C0E" w:rsidRPr="00DB1C0E" w:rsidRDefault="00DB1C0E" w:rsidP="00DB1C0E">
            <w:pPr>
              <w:rPr>
                <w:rFonts w:asciiTheme="minorHAnsi" w:hAnsiTheme="minorHAnsi" w:cstheme="minorHAnsi"/>
                <w:b/>
                <w:bCs/>
                <w:sz w:val="28"/>
                <w:szCs w:val="28"/>
              </w:rPr>
            </w:pPr>
            <w:r w:rsidRPr="00DB1C0E">
              <w:rPr>
                <w:rFonts w:asciiTheme="minorHAnsi" w:hAnsiTheme="minorHAnsi" w:cstheme="minorHAnsi"/>
                <w:b/>
                <w:bCs/>
                <w:sz w:val="28"/>
                <w:szCs w:val="28"/>
              </w:rPr>
              <w:t>Public affairs</w:t>
            </w:r>
          </w:p>
          <w:p w14:paraId="6D213D70" w14:textId="77777777" w:rsidR="00DB1C0E" w:rsidRPr="00DB1C0E" w:rsidRDefault="00DB1C0E" w:rsidP="00DB1C0E">
            <w:pPr>
              <w:rPr>
                <w:rFonts w:asciiTheme="minorHAnsi" w:hAnsiTheme="minorHAnsi" w:cstheme="minorHAnsi"/>
                <w:b/>
                <w:bCs/>
              </w:rPr>
            </w:pPr>
          </w:p>
          <w:p w14:paraId="2F3ED6C4" w14:textId="77777777" w:rsidR="00DB1C0E" w:rsidRPr="00DB1C0E" w:rsidRDefault="00DB1C0E" w:rsidP="00DB1C0E">
            <w:pPr>
              <w:pStyle w:val="ListParagraph"/>
              <w:numPr>
                <w:ilvl w:val="0"/>
                <w:numId w:val="42"/>
              </w:numPr>
              <w:rPr>
                <w:rFonts w:asciiTheme="minorHAnsi" w:hAnsiTheme="minorHAnsi" w:cstheme="minorHAnsi"/>
              </w:rPr>
            </w:pPr>
            <w:r w:rsidRPr="00DB1C0E">
              <w:rPr>
                <w:rFonts w:asciiTheme="minorHAnsi" w:hAnsiTheme="minorHAnsi" w:cstheme="minorHAnsi"/>
              </w:rPr>
              <w:t xml:space="preserve">Hugh met with Richard Goodman, MHCLG Director General for Building Safety, Grenfell and Net Zero. The meeting covered priorities in these areas, including the role of education and training in driving competence, improving culture across the professions in the sector, and our plans for continuing professional development. </w:t>
            </w:r>
            <w:r w:rsidRPr="00DB1C0E">
              <w:rPr>
                <w:rFonts w:asciiTheme="minorHAnsi" w:hAnsiTheme="minorHAnsi" w:cstheme="minorHAnsi"/>
                <w:i/>
                <w:iCs/>
              </w:rPr>
              <w:t>[ARB / CPD / IET / EDI]</w:t>
            </w:r>
          </w:p>
          <w:p w14:paraId="18C1F865" w14:textId="77777777" w:rsidR="00DB1C0E" w:rsidRPr="00DB1C0E" w:rsidRDefault="00DB1C0E" w:rsidP="00DB1C0E">
            <w:pPr>
              <w:pStyle w:val="ListParagraph"/>
              <w:rPr>
                <w:rFonts w:asciiTheme="minorHAnsi" w:hAnsiTheme="minorHAnsi" w:cstheme="minorHAnsi"/>
              </w:rPr>
            </w:pPr>
          </w:p>
          <w:p w14:paraId="6462F057" w14:textId="77777777" w:rsidR="00DB1C0E" w:rsidRPr="00DB1C0E" w:rsidRDefault="00DB1C0E" w:rsidP="00DB1C0E">
            <w:pPr>
              <w:pStyle w:val="ListParagraph"/>
              <w:numPr>
                <w:ilvl w:val="0"/>
                <w:numId w:val="42"/>
              </w:numPr>
              <w:rPr>
                <w:rFonts w:asciiTheme="minorHAnsi" w:hAnsiTheme="minorHAnsi" w:cstheme="minorHAnsi"/>
              </w:rPr>
            </w:pPr>
            <w:r w:rsidRPr="00DB1C0E">
              <w:rPr>
                <w:rFonts w:asciiTheme="minorHAnsi" w:hAnsiTheme="minorHAnsi" w:cstheme="minorHAnsi"/>
              </w:rPr>
              <w:t xml:space="preserve">The most significant Government activity in June was that MHCLG published its response to its consultation on the regulation of architects. We published an update on our website about the changes and what they would mean for the profession; this was the second most viewed page on the site in publication week (407 views, 359 unique views). We also issued a quote as part of a joint press release with MHCLG.  </w:t>
            </w:r>
            <w:r w:rsidRPr="00DB1C0E">
              <w:rPr>
                <w:rFonts w:asciiTheme="minorHAnsi" w:hAnsiTheme="minorHAnsi" w:cstheme="minorHAnsi"/>
                <w:i/>
                <w:iCs/>
              </w:rPr>
              <w:t>[ARB / CPD]</w:t>
            </w:r>
          </w:p>
          <w:p w14:paraId="42AB158B" w14:textId="77777777" w:rsidR="00DB1C0E" w:rsidRPr="00DB1C0E" w:rsidRDefault="00DB1C0E" w:rsidP="00DB1C0E">
            <w:pPr>
              <w:rPr>
                <w:rFonts w:asciiTheme="minorHAnsi" w:hAnsiTheme="minorHAnsi" w:cstheme="minorHAnsi"/>
              </w:rPr>
            </w:pPr>
          </w:p>
          <w:p w14:paraId="38664A77" w14:textId="2D76256B" w:rsidR="00DB1C0E" w:rsidRPr="00DB1C0E" w:rsidRDefault="00DB1C0E" w:rsidP="00DB1C0E">
            <w:pPr>
              <w:pStyle w:val="ListParagraph"/>
              <w:numPr>
                <w:ilvl w:val="0"/>
                <w:numId w:val="42"/>
              </w:numPr>
              <w:rPr>
                <w:rFonts w:asciiTheme="minorHAnsi" w:hAnsiTheme="minorHAnsi" w:cstheme="minorHAnsi"/>
                <w:b/>
                <w:bCs/>
              </w:rPr>
            </w:pPr>
            <w:r w:rsidRPr="00DB1C0E">
              <w:rPr>
                <w:rFonts w:asciiTheme="minorHAnsi" w:hAnsiTheme="minorHAnsi" w:cstheme="minorHAnsi"/>
              </w:rPr>
              <w:t>Tim Loughton MP copied us into a letter he sent on behalf of the All-Party Parliamentary Group for Armenia</w:t>
            </w:r>
            <w:r w:rsidR="001E4219">
              <w:rPr>
                <w:rFonts w:asciiTheme="minorHAnsi" w:hAnsiTheme="minorHAnsi" w:cstheme="minorHAnsi"/>
              </w:rPr>
              <w:t xml:space="preserve"> raising </w:t>
            </w:r>
            <w:r w:rsidRPr="00DB1C0E">
              <w:rPr>
                <w:rFonts w:asciiTheme="minorHAnsi" w:hAnsiTheme="minorHAnsi" w:cstheme="minorHAnsi"/>
              </w:rPr>
              <w:t xml:space="preserve">concerns about the company’s acceptance of a contract with the Azerbaijan government. We </w:t>
            </w:r>
            <w:r w:rsidR="001E4219">
              <w:rPr>
                <w:rFonts w:asciiTheme="minorHAnsi" w:hAnsiTheme="minorHAnsi" w:cstheme="minorHAnsi"/>
              </w:rPr>
              <w:t xml:space="preserve">have provided a </w:t>
            </w:r>
            <w:r w:rsidRPr="00DB1C0E">
              <w:rPr>
                <w:rFonts w:asciiTheme="minorHAnsi" w:hAnsiTheme="minorHAnsi" w:cstheme="minorHAnsi"/>
              </w:rPr>
              <w:t xml:space="preserve">response to the MP. </w:t>
            </w:r>
            <w:r w:rsidRPr="00DB1C0E">
              <w:rPr>
                <w:rFonts w:asciiTheme="minorHAnsi" w:hAnsiTheme="minorHAnsi" w:cstheme="minorHAnsi"/>
                <w:i/>
                <w:iCs/>
              </w:rPr>
              <w:t>[ARB]</w:t>
            </w:r>
          </w:p>
          <w:p w14:paraId="47439052" w14:textId="77777777" w:rsidR="00DB1C0E" w:rsidRPr="00DB1C0E" w:rsidRDefault="00DB1C0E" w:rsidP="00DB1C0E">
            <w:pPr>
              <w:rPr>
                <w:rFonts w:asciiTheme="minorHAnsi" w:hAnsiTheme="minorHAnsi" w:cstheme="minorHAnsi"/>
                <w:b/>
                <w:bCs/>
              </w:rPr>
            </w:pPr>
          </w:p>
          <w:p w14:paraId="06047282" w14:textId="77777777" w:rsidR="00DB1C0E" w:rsidRPr="00DB1C0E" w:rsidRDefault="00DB1C0E" w:rsidP="00DB1C0E">
            <w:pPr>
              <w:pStyle w:val="ListParagraph"/>
              <w:numPr>
                <w:ilvl w:val="0"/>
                <w:numId w:val="42"/>
              </w:numPr>
              <w:rPr>
                <w:rFonts w:asciiTheme="minorHAnsi" w:hAnsiTheme="minorHAnsi" w:cstheme="minorHAnsi"/>
                <w:b/>
                <w:bCs/>
              </w:rPr>
            </w:pPr>
            <w:r w:rsidRPr="00DB1C0E">
              <w:rPr>
                <w:rFonts w:asciiTheme="minorHAnsi" w:hAnsiTheme="minorHAnsi" w:cstheme="minorHAnsi"/>
              </w:rPr>
              <w:t xml:space="preserve">We were mentioned in Parliament by Lord </w:t>
            </w:r>
            <w:proofErr w:type="spellStart"/>
            <w:r w:rsidRPr="00DB1C0E">
              <w:rPr>
                <w:rFonts w:asciiTheme="minorHAnsi" w:hAnsiTheme="minorHAnsi" w:cstheme="minorHAnsi"/>
              </w:rPr>
              <w:t>Grimstone</w:t>
            </w:r>
            <w:proofErr w:type="spellEnd"/>
            <w:r w:rsidRPr="00DB1C0E">
              <w:rPr>
                <w:rFonts w:asciiTheme="minorHAnsi" w:hAnsiTheme="minorHAnsi" w:cstheme="minorHAnsi"/>
              </w:rPr>
              <w:t xml:space="preserve">, the minister responsible for the Professional Qualifications Bill in the House of Lords. During a debate on the </w:t>
            </w:r>
            <w:proofErr w:type="gramStart"/>
            <w:r w:rsidRPr="00DB1C0E">
              <w:rPr>
                <w:rFonts w:asciiTheme="minorHAnsi" w:hAnsiTheme="minorHAnsi" w:cstheme="minorHAnsi"/>
              </w:rPr>
              <w:t>Bill</w:t>
            </w:r>
            <w:proofErr w:type="gramEnd"/>
            <w:r w:rsidRPr="00DB1C0E">
              <w:rPr>
                <w:rFonts w:asciiTheme="minorHAnsi" w:hAnsiTheme="minorHAnsi" w:cstheme="minorHAnsi"/>
              </w:rPr>
              <w:t xml:space="preserve"> he cited ARB as an example of a regulator that would benefit from new powers to take decisions on recognition agreements. </w:t>
            </w:r>
            <w:r w:rsidRPr="00DB1C0E">
              <w:rPr>
                <w:rFonts w:asciiTheme="minorHAnsi" w:hAnsiTheme="minorHAnsi" w:cstheme="minorHAnsi"/>
                <w:i/>
                <w:iCs/>
              </w:rPr>
              <w:t>[ARB]</w:t>
            </w:r>
          </w:p>
          <w:p w14:paraId="73A99B19" w14:textId="77777777" w:rsidR="00DB1C0E" w:rsidRPr="00DB1C0E" w:rsidRDefault="00DB1C0E" w:rsidP="00DB1C0E">
            <w:pPr>
              <w:rPr>
                <w:rFonts w:asciiTheme="minorHAnsi" w:hAnsiTheme="minorHAnsi" w:cstheme="minorHAnsi"/>
                <w:b/>
                <w:bCs/>
              </w:rPr>
            </w:pPr>
          </w:p>
          <w:p w14:paraId="4CAFFEEC" w14:textId="77777777" w:rsidR="00DB1C0E" w:rsidRPr="00DB1C0E" w:rsidRDefault="00DB1C0E" w:rsidP="00DB1C0E">
            <w:pPr>
              <w:pStyle w:val="ListParagraph"/>
              <w:numPr>
                <w:ilvl w:val="0"/>
                <w:numId w:val="42"/>
              </w:numPr>
              <w:rPr>
                <w:rFonts w:asciiTheme="minorHAnsi" w:hAnsiTheme="minorHAnsi" w:cstheme="minorHAnsi"/>
                <w:b/>
                <w:bCs/>
              </w:rPr>
            </w:pPr>
            <w:r w:rsidRPr="00DB1C0E">
              <w:rPr>
                <w:rFonts w:asciiTheme="minorHAnsi" w:hAnsiTheme="minorHAnsi" w:cstheme="minorHAnsi"/>
              </w:rPr>
              <w:t xml:space="preserve">Upcoming public affairs activities will focus on the two significant Bills now progressing through Parliament that would amend ARB’s powers in the Architects Act. These are the Building Safety Bill, which is due to be debated by MPs on 21 July, and </w:t>
            </w:r>
            <w:r w:rsidRPr="00DB1C0E">
              <w:rPr>
                <w:rFonts w:asciiTheme="minorHAnsi" w:hAnsiTheme="minorHAnsi" w:cstheme="minorHAnsi"/>
              </w:rPr>
              <w:lastRenderedPageBreak/>
              <w:t xml:space="preserve">the Professional Qualifications Bill, which does not yet have a date for its next stage (Report in the House of Lords). </w:t>
            </w:r>
            <w:r w:rsidRPr="00DB1C0E">
              <w:rPr>
                <w:rFonts w:asciiTheme="minorHAnsi" w:hAnsiTheme="minorHAnsi" w:cstheme="minorHAnsi"/>
                <w:i/>
                <w:iCs/>
              </w:rPr>
              <w:t>[ARB / CPD]</w:t>
            </w:r>
          </w:p>
          <w:p w14:paraId="16D392DB" w14:textId="77777777" w:rsidR="00DB1C0E" w:rsidRPr="00DB1C0E" w:rsidRDefault="00DB1C0E" w:rsidP="00DB1C0E">
            <w:pPr>
              <w:rPr>
                <w:rFonts w:asciiTheme="minorHAnsi" w:hAnsiTheme="minorHAnsi" w:cstheme="minorHAnsi"/>
                <w:b/>
                <w:bCs/>
              </w:rPr>
            </w:pPr>
          </w:p>
          <w:p w14:paraId="4DB59D58" w14:textId="77777777" w:rsidR="00DB1C0E" w:rsidRPr="00DB1C0E" w:rsidRDefault="00DB1C0E" w:rsidP="00DB1C0E">
            <w:pPr>
              <w:pStyle w:val="ListParagraph"/>
              <w:numPr>
                <w:ilvl w:val="0"/>
                <w:numId w:val="42"/>
              </w:numPr>
              <w:rPr>
                <w:rFonts w:asciiTheme="minorHAnsi" w:hAnsiTheme="minorHAnsi" w:cstheme="minorHAnsi"/>
                <w:b/>
                <w:bCs/>
              </w:rPr>
            </w:pPr>
            <w:r w:rsidRPr="00DB1C0E">
              <w:rPr>
                <w:rFonts w:asciiTheme="minorHAnsi" w:hAnsiTheme="minorHAnsi" w:cstheme="minorHAnsi"/>
              </w:rPr>
              <w:t xml:space="preserve">Several committee inquiries are also continuing. We will monitor these and consider how to engage with them more proactively once our projects are more progressed later this summer, and once our public affairs functions are more established. </w:t>
            </w:r>
            <w:r w:rsidRPr="00DB1C0E">
              <w:rPr>
                <w:rFonts w:asciiTheme="minorHAnsi" w:hAnsiTheme="minorHAnsi" w:cstheme="minorHAnsi"/>
                <w:i/>
                <w:iCs/>
              </w:rPr>
              <w:t>[ARB]</w:t>
            </w:r>
          </w:p>
          <w:p w14:paraId="4B62253D" w14:textId="77777777" w:rsidR="00DB1C0E" w:rsidRPr="00DB1C0E" w:rsidRDefault="00DB1C0E" w:rsidP="00DB1C0E">
            <w:pPr>
              <w:pStyle w:val="ListParagraph"/>
              <w:numPr>
                <w:ilvl w:val="1"/>
                <w:numId w:val="42"/>
              </w:numPr>
              <w:rPr>
                <w:rFonts w:asciiTheme="minorHAnsi" w:hAnsiTheme="minorHAnsi" w:cstheme="minorHAnsi"/>
                <w:b/>
                <w:bCs/>
              </w:rPr>
            </w:pPr>
            <w:r w:rsidRPr="00DB1C0E">
              <w:rPr>
                <w:rFonts w:asciiTheme="minorHAnsi" w:hAnsiTheme="minorHAnsi" w:cstheme="minorHAnsi"/>
              </w:rPr>
              <w:t xml:space="preserve">The Environmental Audit Committee inquiry into sustainability in the built </w:t>
            </w:r>
            <w:proofErr w:type="gramStart"/>
            <w:r w:rsidRPr="00DB1C0E">
              <w:rPr>
                <w:rFonts w:asciiTheme="minorHAnsi" w:hAnsiTheme="minorHAnsi" w:cstheme="minorHAnsi"/>
              </w:rPr>
              <w:t>environment;</w:t>
            </w:r>
            <w:proofErr w:type="gramEnd"/>
          </w:p>
          <w:p w14:paraId="0F3B810F" w14:textId="77777777" w:rsidR="00DB1C0E" w:rsidRPr="00DB1C0E" w:rsidRDefault="00DB1C0E" w:rsidP="00DB1C0E">
            <w:pPr>
              <w:pStyle w:val="ListParagraph"/>
              <w:numPr>
                <w:ilvl w:val="1"/>
                <w:numId w:val="42"/>
              </w:numPr>
              <w:rPr>
                <w:rFonts w:asciiTheme="minorHAnsi" w:hAnsiTheme="minorHAnsi" w:cstheme="minorHAnsi"/>
                <w:b/>
                <w:bCs/>
              </w:rPr>
            </w:pPr>
            <w:r w:rsidRPr="00DB1C0E">
              <w:rPr>
                <w:rFonts w:asciiTheme="minorHAnsi" w:hAnsiTheme="minorHAnsi" w:cstheme="minorHAnsi"/>
              </w:rPr>
              <w:t xml:space="preserve">The Housing, Communities and Local Government Committee inquiry into local government and net </w:t>
            </w:r>
            <w:proofErr w:type="gramStart"/>
            <w:r w:rsidRPr="00DB1C0E">
              <w:rPr>
                <w:rFonts w:asciiTheme="minorHAnsi" w:hAnsiTheme="minorHAnsi" w:cstheme="minorHAnsi"/>
              </w:rPr>
              <w:t>zero;</w:t>
            </w:r>
            <w:proofErr w:type="gramEnd"/>
          </w:p>
          <w:p w14:paraId="78D2E580" w14:textId="77777777" w:rsidR="00DB1C0E" w:rsidRPr="00DB1C0E" w:rsidRDefault="00DB1C0E" w:rsidP="00DB1C0E">
            <w:pPr>
              <w:pStyle w:val="ListParagraph"/>
              <w:numPr>
                <w:ilvl w:val="1"/>
                <w:numId w:val="42"/>
              </w:numPr>
              <w:rPr>
                <w:rFonts w:asciiTheme="minorHAnsi" w:hAnsiTheme="minorHAnsi" w:cstheme="minorHAnsi"/>
                <w:b/>
                <w:bCs/>
              </w:rPr>
            </w:pPr>
            <w:r w:rsidRPr="00DB1C0E">
              <w:rPr>
                <w:rFonts w:asciiTheme="minorHAnsi" w:hAnsiTheme="minorHAnsi" w:cstheme="minorHAnsi"/>
              </w:rPr>
              <w:t>A new House of Lords Built Environment Committee inquiry into housing.</w:t>
            </w:r>
          </w:p>
          <w:p w14:paraId="4DBB6386" w14:textId="77777777" w:rsidR="00DB1C0E" w:rsidRPr="00DB1C0E" w:rsidRDefault="00DB1C0E" w:rsidP="00DB1C0E">
            <w:pPr>
              <w:rPr>
                <w:rFonts w:asciiTheme="minorHAnsi" w:hAnsiTheme="minorHAnsi" w:cstheme="minorHAnsi"/>
                <w:b/>
                <w:bCs/>
              </w:rPr>
            </w:pPr>
          </w:p>
          <w:p w14:paraId="28E5E79E" w14:textId="77777777" w:rsidR="00DB1C0E" w:rsidRPr="00DB1C0E" w:rsidRDefault="00DB1C0E" w:rsidP="00DB1C0E">
            <w:pPr>
              <w:rPr>
                <w:rFonts w:asciiTheme="minorHAnsi" w:hAnsiTheme="minorHAnsi" w:cstheme="minorHAnsi"/>
              </w:rPr>
            </w:pPr>
          </w:p>
          <w:p w14:paraId="16F36D5F" w14:textId="77777777" w:rsidR="00DB1C0E" w:rsidRPr="00DB1C0E" w:rsidRDefault="00DB1C0E" w:rsidP="00DB1C0E">
            <w:pPr>
              <w:rPr>
                <w:rFonts w:asciiTheme="minorHAnsi" w:hAnsiTheme="minorHAnsi" w:cstheme="minorHAnsi"/>
                <w:b/>
                <w:bCs/>
                <w:sz w:val="28"/>
                <w:szCs w:val="28"/>
              </w:rPr>
            </w:pPr>
            <w:r w:rsidRPr="00DB1C0E">
              <w:rPr>
                <w:rFonts w:asciiTheme="minorHAnsi" w:hAnsiTheme="minorHAnsi" w:cstheme="minorHAnsi"/>
                <w:b/>
                <w:bCs/>
                <w:sz w:val="28"/>
                <w:szCs w:val="28"/>
              </w:rPr>
              <w:t>Consultations and publications</w:t>
            </w:r>
            <w:r w:rsidRPr="00DB1C0E">
              <w:rPr>
                <w:rFonts w:asciiTheme="minorHAnsi" w:hAnsiTheme="minorHAnsi" w:cstheme="minorHAnsi"/>
                <w:b/>
                <w:bCs/>
                <w:sz w:val="28"/>
                <w:szCs w:val="28"/>
              </w:rPr>
              <w:br/>
            </w:r>
          </w:p>
          <w:p w14:paraId="13B7883E"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We have completed analysis of our consultation on new guidance for institutions, on Fire and life safety and Sustainability. The conclusions and resulting amendments to the guidance are presented to the Board in a separate paper.</w:t>
            </w:r>
          </w:p>
          <w:p w14:paraId="02F264E1" w14:textId="77777777" w:rsidR="00DB1C0E" w:rsidRPr="00DB1C0E" w:rsidRDefault="00DB1C0E" w:rsidP="00DB1C0E">
            <w:pPr>
              <w:rPr>
                <w:rFonts w:asciiTheme="minorHAnsi" w:hAnsiTheme="minorHAnsi" w:cstheme="minorHAnsi"/>
              </w:rPr>
            </w:pPr>
          </w:p>
          <w:p w14:paraId="2814C19D"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Look ahead:</w:t>
            </w:r>
          </w:p>
          <w:p w14:paraId="3F546E84" w14:textId="77777777" w:rsidR="00DB1C0E" w:rsidRPr="00DB1C0E" w:rsidRDefault="00DB1C0E" w:rsidP="00DB1C0E">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1413"/>
              <w:gridCol w:w="5528"/>
              <w:gridCol w:w="2075"/>
            </w:tblGrid>
            <w:tr w:rsidR="00DB1C0E" w:rsidRPr="00DB1C0E" w14:paraId="24ABEA54" w14:textId="77777777" w:rsidTr="00C573B2">
              <w:tc>
                <w:tcPr>
                  <w:tcW w:w="1413" w:type="dxa"/>
                </w:tcPr>
                <w:p w14:paraId="25209D90"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Topic</w:t>
                  </w:r>
                </w:p>
              </w:tc>
              <w:tc>
                <w:tcPr>
                  <w:tcW w:w="5528" w:type="dxa"/>
                </w:tcPr>
                <w:p w14:paraId="6F496E75"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Activity</w:t>
                  </w:r>
                </w:p>
              </w:tc>
              <w:tc>
                <w:tcPr>
                  <w:tcW w:w="2075" w:type="dxa"/>
                </w:tcPr>
                <w:p w14:paraId="6F1F73D7"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Planned date</w:t>
                  </w:r>
                </w:p>
              </w:tc>
            </w:tr>
            <w:tr w:rsidR="00DB1C0E" w:rsidRPr="00DB1C0E" w14:paraId="013F07D3" w14:textId="77777777" w:rsidTr="00C573B2">
              <w:tc>
                <w:tcPr>
                  <w:tcW w:w="1413" w:type="dxa"/>
                </w:tcPr>
                <w:p w14:paraId="72496FA8"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CPD</w:t>
                  </w:r>
                </w:p>
              </w:tc>
              <w:tc>
                <w:tcPr>
                  <w:tcW w:w="5528" w:type="dxa"/>
                </w:tcPr>
                <w:p w14:paraId="064D6364"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Launching a public engagement exercise to invite views on the Board’s intended principles for the scheme, and to gather intelligence about how architects currently undertake CPD, to be followed by a consultation on detailed proposals in 2022. The communications plan will focus on our target audience of architects.</w:t>
                  </w:r>
                </w:p>
              </w:tc>
              <w:tc>
                <w:tcPr>
                  <w:tcW w:w="2075" w:type="dxa"/>
                </w:tcPr>
                <w:p w14:paraId="61EAA168"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By the end of July</w:t>
                  </w:r>
                </w:p>
              </w:tc>
            </w:tr>
            <w:tr w:rsidR="00DB1C0E" w:rsidRPr="00DB1C0E" w14:paraId="2910A4AB" w14:textId="77777777" w:rsidTr="00C573B2">
              <w:tc>
                <w:tcPr>
                  <w:tcW w:w="1413" w:type="dxa"/>
                </w:tcPr>
                <w:p w14:paraId="6A1BD27C"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IET</w:t>
                  </w:r>
                </w:p>
              </w:tc>
              <w:tc>
                <w:tcPr>
                  <w:tcW w:w="5528" w:type="dxa"/>
                </w:tcPr>
                <w:p w14:paraId="4866DF06"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Launching a public engagement exercise to introduce and invite views on the new framework for initial education and training, to be followed by a consultation on detailed proposals in 2022. The communications plan will focus on our target audience of architecture students, those who did not complete a full course of architecture qualifications, and academic institutions.</w:t>
                  </w:r>
                </w:p>
              </w:tc>
              <w:tc>
                <w:tcPr>
                  <w:tcW w:w="2075" w:type="dxa"/>
                </w:tcPr>
                <w:p w14:paraId="2D86D7C6"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September</w:t>
                  </w:r>
                </w:p>
              </w:tc>
            </w:tr>
            <w:tr w:rsidR="00DB1C0E" w:rsidRPr="00DB1C0E" w14:paraId="23657197" w14:textId="77777777" w:rsidTr="00C573B2">
              <w:tc>
                <w:tcPr>
                  <w:tcW w:w="1413" w:type="dxa"/>
                </w:tcPr>
                <w:p w14:paraId="7E89F083"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International routes to registration</w:t>
                  </w:r>
                </w:p>
              </w:tc>
              <w:tc>
                <w:tcPr>
                  <w:tcW w:w="5528" w:type="dxa"/>
                </w:tcPr>
                <w:p w14:paraId="0CDCBADE"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Holding targeted, invite-only roundtables and inviting views online about the Board’s proposed principles for MRAs and assessments.</w:t>
                  </w:r>
                </w:p>
              </w:tc>
              <w:tc>
                <w:tcPr>
                  <w:tcW w:w="2075" w:type="dxa"/>
                </w:tcPr>
                <w:p w14:paraId="0AF99212"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September</w:t>
                  </w:r>
                </w:p>
              </w:tc>
            </w:tr>
          </w:tbl>
          <w:p w14:paraId="05C3786A" w14:textId="77777777" w:rsidR="00DB1C0E" w:rsidRPr="00DB1C0E" w:rsidRDefault="00DB1C0E" w:rsidP="00DB1C0E">
            <w:pPr>
              <w:rPr>
                <w:rFonts w:asciiTheme="minorHAnsi" w:hAnsiTheme="minorHAnsi" w:cstheme="minorHAnsi"/>
              </w:rPr>
            </w:pPr>
          </w:p>
          <w:p w14:paraId="36EF23B8" w14:textId="77777777" w:rsidR="00DB1C0E" w:rsidRPr="00DB1C0E" w:rsidRDefault="00DB1C0E" w:rsidP="00DB1C0E">
            <w:pPr>
              <w:rPr>
                <w:rFonts w:asciiTheme="minorHAnsi" w:hAnsiTheme="minorHAnsi" w:cstheme="minorHAnsi"/>
              </w:rPr>
            </w:pPr>
          </w:p>
          <w:p w14:paraId="0F3A1FF1" w14:textId="77777777" w:rsidR="00DB1C0E" w:rsidRPr="00DB1C0E" w:rsidRDefault="00DB1C0E" w:rsidP="00DB1C0E">
            <w:pPr>
              <w:rPr>
                <w:rFonts w:asciiTheme="minorHAnsi" w:hAnsiTheme="minorHAnsi" w:cstheme="minorHAnsi"/>
                <w:b/>
                <w:bCs/>
                <w:sz w:val="28"/>
                <w:szCs w:val="28"/>
              </w:rPr>
            </w:pPr>
            <w:r w:rsidRPr="00DB1C0E">
              <w:rPr>
                <w:rFonts w:asciiTheme="minorHAnsi" w:hAnsiTheme="minorHAnsi" w:cstheme="minorHAnsi"/>
                <w:b/>
                <w:bCs/>
                <w:sz w:val="28"/>
                <w:szCs w:val="28"/>
              </w:rPr>
              <w:t>Digital communications</w:t>
            </w:r>
          </w:p>
          <w:p w14:paraId="43E808B6" w14:textId="77777777" w:rsidR="00DB1C0E" w:rsidRPr="00DB1C0E" w:rsidRDefault="00DB1C0E" w:rsidP="00DB1C0E">
            <w:pPr>
              <w:rPr>
                <w:rFonts w:asciiTheme="minorHAnsi" w:hAnsiTheme="minorHAnsi" w:cstheme="minorHAnsi"/>
              </w:rPr>
            </w:pPr>
          </w:p>
          <w:p w14:paraId="37A315BE" w14:textId="77777777" w:rsidR="00DB1C0E" w:rsidRPr="00DB1C0E" w:rsidRDefault="00DB1C0E" w:rsidP="00DB1C0E">
            <w:pPr>
              <w:rPr>
                <w:rFonts w:asciiTheme="minorHAnsi" w:hAnsiTheme="minorHAnsi" w:cstheme="minorHAnsi"/>
                <w:b/>
                <w:bCs/>
              </w:rPr>
            </w:pPr>
            <w:r w:rsidRPr="00DB1C0E">
              <w:rPr>
                <w:rFonts w:asciiTheme="minorHAnsi" w:hAnsiTheme="minorHAnsi" w:cstheme="minorHAnsi"/>
                <w:b/>
                <w:bCs/>
              </w:rPr>
              <w:t>Website</w:t>
            </w:r>
          </w:p>
          <w:p w14:paraId="0685FBE2" w14:textId="77777777" w:rsidR="00DB1C0E" w:rsidRPr="00DB1C0E" w:rsidRDefault="00DB1C0E" w:rsidP="00DB1C0E">
            <w:pPr>
              <w:rPr>
                <w:rFonts w:asciiTheme="minorHAnsi" w:hAnsiTheme="minorHAnsi" w:cstheme="minorHAnsi"/>
              </w:rPr>
            </w:pPr>
          </w:p>
          <w:p w14:paraId="5D1CC91E" w14:textId="77777777" w:rsidR="00DB1C0E" w:rsidRPr="00DB1C0E" w:rsidRDefault="00DB1C0E" w:rsidP="00DB1C0E">
            <w:pPr>
              <w:pStyle w:val="ListParagraph"/>
              <w:numPr>
                <w:ilvl w:val="0"/>
                <w:numId w:val="44"/>
              </w:numPr>
              <w:rPr>
                <w:rFonts w:asciiTheme="minorHAnsi" w:hAnsiTheme="minorHAnsi" w:cstheme="minorHAnsi"/>
              </w:rPr>
            </w:pPr>
            <w:r w:rsidRPr="00DB1C0E">
              <w:rPr>
                <w:rFonts w:asciiTheme="minorHAnsi" w:hAnsiTheme="minorHAnsi" w:cstheme="minorHAnsi"/>
              </w:rPr>
              <w:t>In May, June and the first half of July, website highlights were:</w:t>
            </w:r>
          </w:p>
          <w:p w14:paraId="345C70B2" w14:textId="77777777" w:rsidR="00DB1C0E" w:rsidRPr="00DB1C0E" w:rsidRDefault="00DB1C0E" w:rsidP="00DB1C0E">
            <w:pPr>
              <w:pStyle w:val="ListParagraph"/>
              <w:numPr>
                <w:ilvl w:val="1"/>
                <w:numId w:val="44"/>
              </w:numPr>
              <w:rPr>
                <w:rFonts w:asciiTheme="minorHAnsi" w:hAnsiTheme="minorHAnsi" w:cstheme="minorHAnsi"/>
              </w:rPr>
            </w:pPr>
            <w:r w:rsidRPr="00DB1C0E">
              <w:rPr>
                <w:rFonts w:asciiTheme="minorHAnsi" w:hAnsiTheme="minorHAnsi" w:cstheme="minorHAnsi"/>
              </w:rPr>
              <w:t xml:space="preserve">Publication of a summary of upcoming changes to the Architects Act and ARBs role, related to the introduction of the Professional Qualifications Bill </w:t>
            </w:r>
            <w:r w:rsidRPr="00DB1C0E">
              <w:rPr>
                <w:rFonts w:asciiTheme="minorHAnsi" w:hAnsiTheme="minorHAnsi" w:cstheme="minorHAnsi"/>
                <w:i/>
                <w:iCs/>
              </w:rPr>
              <w:t>[ARB/ CPD/ IET]</w:t>
            </w:r>
          </w:p>
          <w:p w14:paraId="595C2C9D" w14:textId="77777777" w:rsidR="00DB1C0E" w:rsidRPr="00DB1C0E" w:rsidRDefault="00DB1C0E" w:rsidP="00DB1C0E">
            <w:pPr>
              <w:pStyle w:val="ListParagraph"/>
              <w:numPr>
                <w:ilvl w:val="1"/>
                <w:numId w:val="44"/>
              </w:numPr>
              <w:rPr>
                <w:rFonts w:asciiTheme="minorHAnsi" w:hAnsiTheme="minorHAnsi" w:cstheme="minorHAnsi"/>
              </w:rPr>
            </w:pPr>
            <w:r w:rsidRPr="00DB1C0E">
              <w:rPr>
                <w:rFonts w:asciiTheme="minorHAnsi" w:hAnsiTheme="minorHAnsi" w:cstheme="minorHAnsi"/>
              </w:rPr>
              <w:t xml:space="preserve">Publication of ARB’s Annual Report and Financial Statements for 2020 and a summary landing page designed to drive engagement with the report </w:t>
            </w:r>
            <w:r w:rsidRPr="00DB1C0E">
              <w:rPr>
                <w:rFonts w:asciiTheme="minorHAnsi" w:hAnsiTheme="minorHAnsi" w:cstheme="minorHAnsi"/>
                <w:i/>
                <w:iCs/>
              </w:rPr>
              <w:t>[ARB/ CPD/ IET/ EDI]</w:t>
            </w:r>
          </w:p>
          <w:p w14:paraId="4028559B" w14:textId="77777777" w:rsidR="00DB1C0E" w:rsidRPr="00DB1C0E" w:rsidRDefault="00DB1C0E" w:rsidP="00DB1C0E">
            <w:pPr>
              <w:ind w:firstLine="720"/>
              <w:rPr>
                <w:rFonts w:asciiTheme="minorHAnsi" w:hAnsiTheme="minorHAnsi" w:cstheme="minorHAnsi"/>
              </w:rPr>
            </w:pPr>
            <w:r w:rsidRPr="00DB1C0E">
              <w:rPr>
                <w:rFonts w:asciiTheme="minorHAnsi" w:hAnsiTheme="minorHAnsi" w:cstheme="minorHAnsi"/>
              </w:rPr>
              <w:t>Both pages were the #1 viewed page on the site on the day of launch</w:t>
            </w:r>
          </w:p>
          <w:p w14:paraId="6668FB97" w14:textId="77777777" w:rsidR="00DB1C0E" w:rsidRPr="00DB1C0E" w:rsidRDefault="00DB1C0E" w:rsidP="00DB1C0E">
            <w:pPr>
              <w:pStyle w:val="ListParagraph"/>
              <w:numPr>
                <w:ilvl w:val="0"/>
                <w:numId w:val="44"/>
              </w:numPr>
              <w:rPr>
                <w:rFonts w:asciiTheme="minorHAnsi" w:hAnsiTheme="minorHAnsi" w:cstheme="minorHAnsi"/>
              </w:rPr>
            </w:pPr>
            <w:r w:rsidRPr="00DB1C0E">
              <w:rPr>
                <w:rFonts w:asciiTheme="minorHAnsi" w:hAnsiTheme="minorHAnsi" w:cstheme="minorHAnsi"/>
              </w:rPr>
              <w:lastRenderedPageBreak/>
              <w:t>In this period, website engagement is below the 2021 monthly average, likely due to high levels of engagement in the early part of the year (due to UK exit and launch of ARB’s sustainability and fire and life safety guidelines and consultation)</w:t>
            </w:r>
          </w:p>
          <w:p w14:paraId="6488B95A" w14:textId="77777777" w:rsidR="00DB1C0E" w:rsidRPr="00DB1C0E" w:rsidRDefault="00DB1C0E" w:rsidP="00DB1C0E">
            <w:pPr>
              <w:pStyle w:val="ListParagraph"/>
              <w:numPr>
                <w:ilvl w:val="0"/>
                <w:numId w:val="44"/>
              </w:numPr>
              <w:rPr>
                <w:rFonts w:asciiTheme="minorHAnsi" w:hAnsiTheme="minorHAnsi" w:cstheme="minorHAnsi"/>
              </w:rPr>
            </w:pPr>
            <w:r w:rsidRPr="00DB1C0E">
              <w:rPr>
                <w:rFonts w:asciiTheme="minorHAnsi" w:hAnsiTheme="minorHAnsi" w:cstheme="minorHAnsi"/>
              </w:rPr>
              <w:t>Most viewed webpages for May and June were:</w:t>
            </w:r>
          </w:p>
          <w:p w14:paraId="6C3BA84E" w14:textId="77777777" w:rsidR="00DB1C0E" w:rsidRPr="00DB1C0E" w:rsidRDefault="00DB1C0E" w:rsidP="00DB1C0E">
            <w:pPr>
              <w:pStyle w:val="ListParagraph"/>
              <w:numPr>
                <w:ilvl w:val="1"/>
                <w:numId w:val="44"/>
              </w:numPr>
              <w:rPr>
                <w:rFonts w:asciiTheme="minorHAnsi" w:hAnsiTheme="minorHAnsi" w:cstheme="minorHAnsi"/>
              </w:rPr>
            </w:pPr>
            <w:r w:rsidRPr="00DB1C0E">
              <w:rPr>
                <w:rFonts w:asciiTheme="minorHAnsi" w:hAnsiTheme="minorHAnsi" w:cstheme="minorHAnsi"/>
              </w:rPr>
              <w:t>#1 /architect-information/applying-for-registration-for-the-</w:t>
            </w:r>
            <w:proofErr w:type="gramStart"/>
            <w:r w:rsidRPr="00DB1C0E">
              <w:rPr>
                <w:rFonts w:asciiTheme="minorHAnsi" w:hAnsiTheme="minorHAnsi" w:cstheme="minorHAnsi"/>
              </w:rPr>
              <w:t>first-time</w:t>
            </w:r>
            <w:proofErr w:type="gramEnd"/>
            <w:r w:rsidRPr="00DB1C0E">
              <w:rPr>
                <w:rFonts w:asciiTheme="minorHAnsi" w:hAnsiTheme="minorHAnsi" w:cstheme="minorHAnsi"/>
              </w:rPr>
              <w:t>/i-hold-overseas-non-recognised-uk-qualifications/</w:t>
            </w:r>
          </w:p>
          <w:p w14:paraId="47B4A6C8" w14:textId="77777777" w:rsidR="00DB1C0E" w:rsidRPr="00DB1C0E" w:rsidRDefault="00DB1C0E" w:rsidP="00DB1C0E">
            <w:pPr>
              <w:pStyle w:val="ListParagraph"/>
              <w:numPr>
                <w:ilvl w:val="1"/>
                <w:numId w:val="44"/>
              </w:numPr>
              <w:rPr>
                <w:rFonts w:asciiTheme="minorHAnsi" w:hAnsiTheme="minorHAnsi" w:cstheme="minorHAnsi"/>
              </w:rPr>
            </w:pPr>
            <w:r w:rsidRPr="00DB1C0E">
              <w:rPr>
                <w:rFonts w:asciiTheme="minorHAnsi" w:hAnsiTheme="minorHAnsi" w:cstheme="minorHAnsi"/>
              </w:rPr>
              <w:t>#2 /public-information/before-hiring-an-architect/architects-register/</w:t>
            </w:r>
          </w:p>
          <w:p w14:paraId="786F169A" w14:textId="77777777" w:rsidR="00DB1C0E" w:rsidRPr="00DB1C0E" w:rsidRDefault="00DB1C0E" w:rsidP="00DB1C0E">
            <w:pPr>
              <w:pStyle w:val="ListParagraph"/>
              <w:numPr>
                <w:ilvl w:val="1"/>
                <w:numId w:val="44"/>
              </w:numPr>
              <w:rPr>
                <w:rFonts w:asciiTheme="minorHAnsi" w:hAnsiTheme="minorHAnsi" w:cstheme="minorHAnsi"/>
              </w:rPr>
            </w:pPr>
            <w:r w:rsidRPr="00DB1C0E">
              <w:rPr>
                <w:rFonts w:asciiTheme="minorHAnsi" w:hAnsiTheme="minorHAnsi" w:cstheme="minorHAnsi"/>
              </w:rPr>
              <w:t>#3 /architect-information/applying-for-registration-for-the-</w:t>
            </w:r>
            <w:proofErr w:type="gramStart"/>
            <w:r w:rsidRPr="00DB1C0E">
              <w:rPr>
                <w:rFonts w:asciiTheme="minorHAnsi" w:hAnsiTheme="minorHAnsi" w:cstheme="minorHAnsi"/>
              </w:rPr>
              <w:t>first-time</w:t>
            </w:r>
            <w:proofErr w:type="gramEnd"/>
            <w:r w:rsidRPr="00DB1C0E">
              <w:rPr>
                <w:rFonts w:asciiTheme="minorHAnsi" w:hAnsiTheme="minorHAnsi" w:cstheme="minorHAnsi"/>
              </w:rPr>
              <w:t>/</w:t>
            </w:r>
          </w:p>
          <w:p w14:paraId="58C30AE1" w14:textId="77777777" w:rsidR="00DB1C0E" w:rsidRPr="00DB1C0E" w:rsidRDefault="00DB1C0E" w:rsidP="00DB1C0E">
            <w:pPr>
              <w:rPr>
                <w:rFonts w:asciiTheme="minorHAnsi" w:hAnsiTheme="minorHAnsi" w:cstheme="minorHAnsi"/>
              </w:rPr>
            </w:pPr>
          </w:p>
          <w:p w14:paraId="4D853A2C" w14:textId="77777777" w:rsidR="00DB1C0E" w:rsidRPr="00DB1C0E" w:rsidRDefault="00DB1C0E" w:rsidP="00DB1C0E">
            <w:pPr>
              <w:rPr>
                <w:rFonts w:asciiTheme="minorHAnsi" w:hAnsiTheme="minorHAnsi" w:cstheme="minorHAnsi"/>
              </w:rPr>
            </w:pPr>
          </w:p>
          <w:tbl>
            <w:tblPr>
              <w:tblStyle w:val="TableGrid"/>
              <w:tblW w:w="7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1843"/>
              <w:gridCol w:w="1701"/>
              <w:gridCol w:w="1984"/>
            </w:tblGrid>
            <w:tr w:rsidR="00DB1C0E" w:rsidRPr="00DB1C0E" w14:paraId="794C64DC" w14:textId="77777777" w:rsidTr="00C573B2">
              <w:tc>
                <w:tcPr>
                  <w:tcW w:w="2263" w:type="dxa"/>
                </w:tcPr>
                <w:p w14:paraId="0B157B0F" w14:textId="77777777" w:rsidR="00DB1C0E" w:rsidRPr="00DB1C0E" w:rsidRDefault="00DB1C0E" w:rsidP="00DB1C0E">
                  <w:pPr>
                    <w:rPr>
                      <w:rFonts w:asciiTheme="minorHAnsi" w:hAnsiTheme="minorHAnsi" w:cstheme="minorHAnsi"/>
                    </w:rPr>
                  </w:pPr>
                </w:p>
              </w:tc>
              <w:tc>
                <w:tcPr>
                  <w:tcW w:w="1843" w:type="dxa"/>
                  <w:shd w:val="clear" w:color="auto" w:fill="FDE9D9" w:themeFill="accent6" w:themeFillTint="33"/>
                </w:tcPr>
                <w:p w14:paraId="521EB674"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May</w:t>
                  </w:r>
                </w:p>
              </w:tc>
              <w:tc>
                <w:tcPr>
                  <w:tcW w:w="1701" w:type="dxa"/>
                  <w:shd w:val="clear" w:color="auto" w:fill="FDE9D9" w:themeFill="accent6" w:themeFillTint="33"/>
                </w:tcPr>
                <w:p w14:paraId="7F4A6F55"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June</w:t>
                  </w:r>
                </w:p>
              </w:tc>
              <w:tc>
                <w:tcPr>
                  <w:tcW w:w="1984" w:type="dxa"/>
                  <w:shd w:val="clear" w:color="auto" w:fill="FDE9D9" w:themeFill="accent6" w:themeFillTint="33"/>
                </w:tcPr>
                <w:p w14:paraId="659DFEFF"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Monthly av.</w:t>
                  </w:r>
                </w:p>
              </w:tc>
            </w:tr>
            <w:tr w:rsidR="00DB1C0E" w:rsidRPr="00DB1C0E" w14:paraId="503286AD" w14:textId="77777777" w:rsidTr="00C573B2">
              <w:tc>
                <w:tcPr>
                  <w:tcW w:w="2263" w:type="dxa"/>
                </w:tcPr>
                <w:p w14:paraId="02C63F2A"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Sessions</w:t>
                  </w:r>
                </w:p>
              </w:tc>
              <w:tc>
                <w:tcPr>
                  <w:tcW w:w="1843" w:type="dxa"/>
                </w:tcPr>
                <w:p w14:paraId="0A71EFD3"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24,986</w:t>
                  </w:r>
                </w:p>
              </w:tc>
              <w:tc>
                <w:tcPr>
                  <w:tcW w:w="1701" w:type="dxa"/>
                </w:tcPr>
                <w:p w14:paraId="500A22A8"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24,874</w:t>
                  </w:r>
                </w:p>
              </w:tc>
              <w:tc>
                <w:tcPr>
                  <w:tcW w:w="1984" w:type="dxa"/>
                </w:tcPr>
                <w:p w14:paraId="2FE06FEC"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29,620</w:t>
                  </w:r>
                </w:p>
              </w:tc>
            </w:tr>
            <w:tr w:rsidR="00DB1C0E" w:rsidRPr="00DB1C0E" w14:paraId="080E9BF7" w14:textId="77777777" w:rsidTr="00C573B2">
              <w:tc>
                <w:tcPr>
                  <w:tcW w:w="2263" w:type="dxa"/>
                  <w:shd w:val="clear" w:color="auto" w:fill="F2F2F2" w:themeFill="background1" w:themeFillShade="F2"/>
                </w:tcPr>
                <w:p w14:paraId="3D6581CD"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Sessions from social</w:t>
                  </w:r>
                </w:p>
              </w:tc>
              <w:tc>
                <w:tcPr>
                  <w:tcW w:w="1843" w:type="dxa"/>
                  <w:shd w:val="clear" w:color="auto" w:fill="F2F2F2" w:themeFill="background1" w:themeFillShade="F2"/>
                </w:tcPr>
                <w:p w14:paraId="7A315EF9"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222</w:t>
                  </w:r>
                </w:p>
              </w:tc>
              <w:tc>
                <w:tcPr>
                  <w:tcW w:w="1701" w:type="dxa"/>
                  <w:shd w:val="clear" w:color="auto" w:fill="F2F2F2" w:themeFill="background1" w:themeFillShade="F2"/>
                </w:tcPr>
                <w:p w14:paraId="53157DED"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384</w:t>
                  </w:r>
                </w:p>
              </w:tc>
              <w:tc>
                <w:tcPr>
                  <w:tcW w:w="1984" w:type="dxa"/>
                  <w:shd w:val="clear" w:color="auto" w:fill="F2F2F2" w:themeFill="background1" w:themeFillShade="F2"/>
                </w:tcPr>
                <w:p w14:paraId="7A8CD685"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423</w:t>
                  </w:r>
                </w:p>
              </w:tc>
            </w:tr>
            <w:tr w:rsidR="00DB1C0E" w:rsidRPr="00DB1C0E" w14:paraId="2E03448D" w14:textId="77777777" w:rsidTr="00C573B2">
              <w:tc>
                <w:tcPr>
                  <w:tcW w:w="2263" w:type="dxa"/>
                </w:tcPr>
                <w:p w14:paraId="3381F8B8"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Users</w:t>
                  </w:r>
                </w:p>
              </w:tc>
              <w:tc>
                <w:tcPr>
                  <w:tcW w:w="1843" w:type="dxa"/>
                </w:tcPr>
                <w:p w14:paraId="1C2F8835"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18,302</w:t>
                  </w:r>
                </w:p>
              </w:tc>
              <w:tc>
                <w:tcPr>
                  <w:tcW w:w="1701" w:type="dxa"/>
                </w:tcPr>
                <w:p w14:paraId="6689192A"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17,997</w:t>
                  </w:r>
                </w:p>
              </w:tc>
              <w:tc>
                <w:tcPr>
                  <w:tcW w:w="1984" w:type="dxa"/>
                </w:tcPr>
                <w:p w14:paraId="34975E23"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21,251</w:t>
                  </w:r>
                </w:p>
              </w:tc>
            </w:tr>
            <w:tr w:rsidR="00DB1C0E" w:rsidRPr="00DB1C0E" w14:paraId="0AC60EFC" w14:textId="77777777" w:rsidTr="00C573B2">
              <w:tc>
                <w:tcPr>
                  <w:tcW w:w="2263" w:type="dxa"/>
                  <w:shd w:val="clear" w:color="auto" w:fill="F2F2F2" w:themeFill="background1" w:themeFillShade="F2"/>
                </w:tcPr>
                <w:p w14:paraId="4E6994E9"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Pageviews</w:t>
                  </w:r>
                </w:p>
              </w:tc>
              <w:tc>
                <w:tcPr>
                  <w:tcW w:w="1843" w:type="dxa"/>
                  <w:shd w:val="clear" w:color="auto" w:fill="F2F2F2" w:themeFill="background1" w:themeFillShade="F2"/>
                </w:tcPr>
                <w:p w14:paraId="4382979F"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57,924</w:t>
                  </w:r>
                </w:p>
              </w:tc>
              <w:tc>
                <w:tcPr>
                  <w:tcW w:w="1701" w:type="dxa"/>
                  <w:shd w:val="clear" w:color="auto" w:fill="F2F2F2" w:themeFill="background1" w:themeFillShade="F2"/>
                </w:tcPr>
                <w:p w14:paraId="03FF7499"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57,076</w:t>
                  </w:r>
                </w:p>
              </w:tc>
              <w:tc>
                <w:tcPr>
                  <w:tcW w:w="1984" w:type="dxa"/>
                  <w:shd w:val="clear" w:color="auto" w:fill="F2F2F2" w:themeFill="background1" w:themeFillShade="F2"/>
                </w:tcPr>
                <w:p w14:paraId="7A28D025"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68,307</w:t>
                  </w:r>
                </w:p>
              </w:tc>
            </w:tr>
          </w:tbl>
          <w:p w14:paraId="6B39909E" w14:textId="77777777" w:rsidR="00DB1C0E" w:rsidRPr="00DB1C0E" w:rsidRDefault="00DB1C0E" w:rsidP="00DB1C0E">
            <w:pPr>
              <w:rPr>
                <w:rFonts w:asciiTheme="minorHAnsi" w:hAnsiTheme="minorHAnsi" w:cstheme="minorHAnsi"/>
              </w:rPr>
            </w:pPr>
          </w:p>
          <w:p w14:paraId="1A6DEAA6" w14:textId="77777777" w:rsidR="00DB1C0E" w:rsidRPr="00DB1C0E" w:rsidRDefault="00DB1C0E" w:rsidP="00DB1C0E">
            <w:pPr>
              <w:rPr>
                <w:rFonts w:asciiTheme="minorHAnsi" w:hAnsiTheme="minorHAnsi" w:cstheme="minorHAnsi"/>
              </w:rPr>
            </w:pPr>
          </w:p>
          <w:p w14:paraId="05CF8F7E" w14:textId="77777777" w:rsidR="00DB1C0E" w:rsidRPr="00DB1C0E" w:rsidRDefault="00DB1C0E" w:rsidP="00DB1C0E">
            <w:pPr>
              <w:rPr>
                <w:rFonts w:asciiTheme="minorHAnsi" w:hAnsiTheme="minorHAnsi" w:cstheme="minorHAnsi"/>
                <w:i/>
                <w:iCs/>
              </w:rPr>
            </w:pPr>
            <w:r w:rsidRPr="00DB1C0E">
              <w:rPr>
                <w:rFonts w:asciiTheme="minorHAnsi" w:hAnsiTheme="minorHAnsi" w:cstheme="minorHAnsi"/>
                <w:i/>
                <w:iCs/>
              </w:rPr>
              <w:t xml:space="preserve">Session: The </w:t>
            </w:r>
            <w:proofErr w:type="gramStart"/>
            <w:r w:rsidRPr="00DB1C0E">
              <w:rPr>
                <w:rFonts w:asciiTheme="minorHAnsi" w:hAnsiTheme="minorHAnsi" w:cstheme="minorHAnsi"/>
                <w:i/>
                <w:iCs/>
              </w:rPr>
              <w:t>period of time</w:t>
            </w:r>
            <w:proofErr w:type="gramEnd"/>
            <w:r w:rsidRPr="00DB1C0E">
              <w:rPr>
                <w:rFonts w:asciiTheme="minorHAnsi" w:hAnsiTheme="minorHAnsi" w:cstheme="minorHAnsi"/>
                <w:i/>
                <w:iCs/>
              </w:rPr>
              <w:t xml:space="preserve"> a user is actively engaged with arb.org.uk</w:t>
            </w:r>
          </w:p>
          <w:p w14:paraId="06C07632" w14:textId="77777777" w:rsidR="00DB1C0E" w:rsidRPr="00DB1C0E" w:rsidRDefault="00DB1C0E" w:rsidP="00DB1C0E">
            <w:pPr>
              <w:rPr>
                <w:rFonts w:asciiTheme="minorHAnsi" w:hAnsiTheme="minorHAnsi" w:cstheme="minorHAnsi"/>
                <w:i/>
                <w:iCs/>
              </w:rPr>
            </w:pPr>
            <w:r w:rsidRPr="00DB1C0E">
              <w:rPr>
                <w:rFonts w:asciiTheme="minorHAnsi" w:hAnsiTheme="minorHAnsi" w:cstheme="minorHAnsi"/>
                <w:i/>
                <w:iCs/>
              </w:rPr>
              <w:t xml:space="preserve">Sessions from social: The period of time a user who first visited one of ARB’s social channels is actively engaged with </w:t>
            </w:r>
            <w:proofErr w:type="gramStart"/>
            <w:r w:rsidRPr="00DB1C0E">
              <w:rPr>
                <w:rFonts w:asciiTheme="minorHAnsi" w:hAnsiTheme="minorHAnsi" w:cstheme="minorHAnsi"/>
                <w:i/>
                <w:iCs/>
              </w:rPr>
              <w:t>arb.org.uk</w:t>
            </w:r>
            <w:proofErr w:type="gramEnd"/>
          </w:p>
          <w:p w14:paraId="20831017" w14:textId="77777777" w:rsidR="00DB1C0E" w:rsidRPr="00DB1C0E" w:rsidRDefault="00DB1C0E" w:rsidP="00DB1C0E">
            <w:pPr>
              <w:rPr>
                <w:rFonts w:asciiTheme="minorHAnsi" w:hAnsiTheme="minorHAnsi" w:cstheme="minorHAnsi"/>
                <w:i/>
                <w:iCs/>
              </w:rPr>
            </w:pPr>
            <w:r w:rsidRPr="00DB1C0E">
              <w:rPr>
                <w:rFonts w:asciiTheme="minorHAnsi" w:hAnsiTheme="minorHAnsi" w:cstheme="minorHAnsi"/>
                <w:i/>
                <w:iCs/>
              </w:rPr>
              <w:t>Users: Visitors who have initiated a session on arb.org.uk</w:t>
            </w:r>
          </w:p>
          <w:p w14:paraId="5F0D1779" w14:textId="77777777" w:rsidR="00DB1C0E" w:rsidRPr="00DB1C0E" w:rsidRDefault="00DB1C0E" w:rsidP="00DB1C0E">
            <w:pPr>
              <w:rPr>
                <w:rFonts w:asciiTheme="minorHAnsi" w:hAnsiTheme="minorHAnsi" w:cstheme="minorHAnsi"/>
                <w:i/>
                <w:iCs/>
              </w:rPr>
            </w:pPr>
            <w:r w:rsidRPr="00DB1C0E">
              <w:rPr>
                <w:rFonts w:asciiTheme="minorHAnsi" w:hAnsiTheme="minorHAnsi" w:cstheme="minorHAnsi"/>
                <w:i/>
                <w:iCs/>
              </w:rPr>
              <w:t xml:space="preserve">Pageviews: Total number of pages viewed on </w:t>
            </w:r>
            <w:proofErr w:type="gramStart"/>
            <w:r w:rsidRPr="00DB1C0E">
              <w:rPr>
                <w:rFonts w:asciiTheme="minorHAnsi" w:hAnsiTheme="minorHAnsi" w:cstheme="minorHAnsi"/>
                <w:i/>
                <w:iCs/>
              </w:rPr>
              <w:t>arb.org.uk</w:t>
            </w:r>
            <w:proofErr w:type="gramEnd"/>
          </w:p>
          <w:p w14:paraId="144A63FD" w14:textId="71CBDC3B" w:rsidR="00DB1C0E" w:rsidRPr="00DB1C0E" w:rsidRDefault="00DB1C0E" w:rsidP="00DB1C0E">
            <w:pPr>
              <w:rPr>
                <w:rFonts w:asciiTheme="minorHAnsi" w:hAnsiTheme="minorHAnsi" w:cstheme="minorHAnsi"/>
              </w:rPr>
            </w:pPr>
            <w:r w:rsidRPr="00DB1C0E">
              <w:rPr>
                <w:rFonts w:asciiTheme="minorHAnsi" w:hAnsiTheme="minorHAnsi" w:cstheme="minorHAnsi"/>
                <w:noProof/>
              </w:rPr>
              <w:drawing>
                <wp:anchor distT="0" distB="0" distL="114300" distR="114300" simplePos="0" relativeHeight="251660288" behindDoc="0" locked="0" layoutInCell="1" allowOverlap="1" wp14:anchorId="0D145605" wp14:editId="176C0BDF">
                  <wp:simplePos x="0" y="0"/>
                  <wp:positionH relativeFrom="column">
                    <wp:posOffset>2690495</wp:posOffset>
                  </wp:positionH>
                  <wp:positionV relativeFrom="paragraph">
                    <wp:posOffset>180340</wp:posOffset>
                  </wp:positionV>
                  <wp:extent cx="3177540" cy="1905635"/>
                  <wp:effectExtent l="0" t="0" r="3810" b="18415"/>
                  <wp:wrapThrough wrapText="bothSides">
                    <wp:wrapPolygon edited="0">
                      <wp:start x="0" y="0"/>
                      <wp:lineTo x="0" y="21593"/>
                      <wp:lineTo x="21496" y="21593"/>
                      <wp:lineTo x="21496" y="0"/>
                      <wp:lineTo x="0" y="0"/>
                    </wp:wrapPolygon>
                  </wp:wrapThrough>
                  <wp:docPr id="2" name="Chart 2">
                    <a:extLst xmlns:a="http://schemas.openxmlformats.org/drawingml/2006/main">
                      <a:ext uri="{FF2B5EF4-FFF2-40B4-BE49-F238E27FC236}">
                        <a16:creationId xmlns:a16="http://schemas.microsoft.com/office/drawing/2014/main" id="{26522755-FA7B-4439-AA0E-307A18A586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DB1C0E">
              <w:rPr>
                <w:rFonts w:asciiTheme="minorHAnsi" w:hAnsiTheme="minorHAnsi" w:cstheme="minorHAnsi"/>
                <w:noProof/>
              </w:rPr>
              <w:drawing>
                <wp:anchor distT="0" distB="0" distL="114300" distR="114300" simplePos="0" relativeHeight="251666432" behindDoc="0" locked="0" layoutInCell="1" allowOverlap="1" wp14:anchorId="198188CD" wp14:editId="1E91CE71">
                  <wp:simplePos x="0" y="0"/>
                  <wp:positionH relativeFrom="column">
                    <wp:posOffset>-68580</wp:posOffset>
                  </wp:positionH>
                  <wp:positionV relativeFrom="paragraph">
                    <wp:posOffset>182880</wp:posOffset>
                  </wp:positionV>
                  <wp:extent cx="3268980" cy="1905635"/>
                  <wp:effectExtent l="0" t="0" r="7620" b="18415"/>
                  <wp:wrapThrough wrapText="bothSides">
                    <wp:wrapPolygon edited="0">
                      <wp:start x="0" y="0"/>
                      <wp:lineTo x="0" y="21593"/>
                      <wp:lineTo x="21524" y="21593"/>
                      <wp:lineTo x="21524" y="0"/>
                      <wp:lineTo x="0" y="0"/>
                    </wp:wrapPolygon>
                  </wp:wrapThrough>
                  <wp:docPr id="8" name="Chart 8">
                    <a:extLst xmlns:a="http://schemas.openxmlformats.org/drawingml/2006/main">
                      <a:ext uri="{FF2B5EF4-FFF2-40B4-BE49-F238E27FC236}">
                        <a16:creationId xmlns:a16="http://schemas.microsoft.com/office/drawing/2014/main" id="{992F1CDF-8650-4030-A03D-54C5C024C5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04EA8B06" w14:textId="1572D7C2" w:rsidR="00DB1C0E" w:rsidRPr="00DB1C0E" w:rsidRDefault="00DB1C0E" w:rsidP="00DB1C0E">
            <w:pPr>
              <w:rPr>
                <w:rFonts w:asciiTheme="minorHAnsi" w:hAnsiTheme="minorHAnsi" w:cstheme="minorHAnsi"/>
              </w:rPr>
            </w:pPr>
          </w:p>
          <w:p w14:paraId="34E41BCE" w14:textId="0B9470F2" w:rsidR="00DB1C0E" w:rsidRPr="00DB1C0E" w:rsidRDefault="00DB1C0E" w:rsidP="00DB1C0E">
            <w:pPr>
              <w:rPr>
                <w:rFonts w:asciiTheme="minorHAnsi" w:hAnsiTheme="minorHAnsi" w:cstheme="minorHAnsi"/>
              </w:rPr>
            </w:pPr>
          </w:p>
          <w:p w14:paraId="2E0B7146" w14:textId="47D555F4" w:rsidR="00DB1C0E" w:rsidRPr="00DB1C0E" w:rsidRDefault="00DB1C0E" w:rsidP="00DB1C0E">
            <w:pPr>
              <w:rPr>
                <w:rFonts w:asciiTheme="minorHAnsi" w:hAnsiTheme="minorHAnsi" w:cstheme="minorHAnsi"/>
                <w:noProof/>
              </w:rPr>
            </w:pPr>
          </w:p>
          <w:p w14:paraId="08055031" w14:textId="77777777" w:rsidR="00DB1C0E" w:rsidRPr="00DB1C0E" w:rsidRDefault="00DB1C0E" w:rsidP="00DB1C0E">
            <w:pPr>
              <w:rPr>
                <w:rFonts w:asciiTheme="minorHAnsi" w:hAnsiTheme="minorHAnsi" w:cstheme="minorHAnsi"/>
              </w:rPr>
            </w:pPr>
          </w:p>
          <w:p w14:paraId="4EE21F66" w14:textId="5DF42351" w:rsidR="00DB1C0E" w:rsidRPr="00DB1C0E" w:rsidRDefault="00DB1C0E" w:rsidP="00DB1C0E">
            <w:pPr>
              <w:rPr>
                <w:rFonts w:asciiTheme="minorHAnsi" w:hAnsiTheme="minorHAnsi" w:cstheme="minorHAnsi"/>
              </w:rPr>
            </w:pPr>
            <w:r w:rsidRPr="00DB1C0E">
              <w:rPr>
                <w:rFonts w:asciiTheme="minorHAnsi" w:hAnsiTheme="minorHAnsi" w:cstheme="minorHAnsi"/>
                <w:noProof/>
              </w:rPr>
              <w:drawing>
                <wp:anchor distT="0" distB="0" distL="114300" distR="114300" simplePos="0" relativeHeight="251659264" behindDoc="0" locked="0" layoutInCell="1" allowOverlap="1" wp14:anchorId="61EC8B9F" wp14:editId="305F931C">
                  <wp:simplePos x="0" y="0"/>
                  <wp:positionH relativeFrom="column">
                    <wp:posOffset>-449580</wp:posOffset>
                  </wp:positionH>
                  <wp:positionV relativeFrom="paragraph">
                    <wp:posOffset>0</wp:posOffset>
                  </wp:positionV>
                  <wp:extent cx="3268980" cy="2019300"/>
                  <wp:effectExtent l="0" t="0" r="7620" b="0"/>
                  <wp:wrapTopAndBottom/>
                  <wp:docPr id="3" name="Chart 3">
                    <a:extLst xmlns:a="http://schemas.openxmlformats.org/drawingml/2006/main">
                      <a:ext uri="{FF2B5EF4-FFF2-40B4-BE49-F238E27FC236}">
                        <a16:creationId xmlns:a16="http://schemas.microsoft.com/office/drawing/2014/main" id="{96EBFC82-DD81-43CE-BFD4-BAAD81D674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DB1C0E">
              <w:rPr>
                <w:rFonts w:asciiTheme="minorHAnsi" w:hAnsiTheme="minorHAnsi" w:cstheme="minorHAnsi"/>
                <w:noProof/>
              </w:rPr>
              <w:drawing>
                <wp:anchor distT="0" distB="0" distL="114300" distR="114300" simplePos="0" relativeHeight="251662336" behindDoc="0" locked="0" layoutInCell="1" allowOverlap="1" wp14:anchorId="2617C39E" wp14:editId="78B83A6B">
                  <wp:simplePos x="0" y="0"/>
                  <wp:positionH relativeFrom="column">
                    <wp:posOffset>2987040</wp:posOffset>
                  </wp:positionH>
                  <wp:positionV relativeFrom="paragraph">
                    <wp:posOffset>0</wp:posOffset>
                  </wp:positionV>
                  <wp:extent cx="3180080" cy="2019300"/>
                  <wp:effectExtent l="0" t="0" r="1270" b="0"/>
                  <wp:wrapTopAndBottom/>
                  <wp:docPr id="4" name="Chart 4">
                    <a:extLst xmlns:a="http://schemas.openxmlformats.org/drawingml/2006/main">
                      <a:ext uri="{FF2B5EF4-FFF2-40B4-BE49-F238E27FC236}">
                        <a16:creationId xmlns:a16="http://schemas.microsoft.com/office/drawing/2014/main" id="{B5606F51-284E-4DB8-8609-7AA18A3779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53DB5D5A" w14:textId="24C771FF" w:rsidR="00DB1C0E" w:rsidRPr="00DB1C0E" w:rsidRDefault="00DB1C0E" w:rsidP="00DB1C0E">
            <w:pPr>
              <w:rPr>
                <w:rFonts w:asciiTheme="minorHAnsi" w:hAnsiTheme="minorHAnsi" w:cstheme="minorHAnsi"/>
              </w:rPr>
            </w:pPr>
          </w:p>
          <w:p w14:paraId="2199229C"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Ebulletin</w:t>
            </w:r>
          </w:p>
          <w:p w14:paraId="0AD17725" w14:textId="77777777" w:rsidR="00DB1C0E" w:rsidRPr="00DB1C0E" w:rsidRDefault="00DB1C0E" w:rsidP="00DB1C0E">
            <w:pPr>
              <w:pStyle w:val="ListParagraph"/>
              <w:numPr>
                <w:ilvl w:val="0"/>
                <w:numId w:val="46"/>
              </w:numPr>
              <w:rPr>
                <w:rFonts w:asciiTheme="minorHAnsi" w:hAnsiTheme="minorHAnsi" w:cstheme="minorHAnsi"/>
              </w:rPr>
            </w:pPr>
            <w:r w:rsidRPr="00DB1C0E">
              <w:rPr>
                <w:rFonts w:asciiTheme="minorHAnsi" w:hAnsiTheme="minorHAnsi" w:cstheme="minorHAnsi"/>
              </w:rPr>
              <w:lastRenderedPageBreak/>
              <w:t>May’s edition sent Friday 28 May to 43,657 architects, with an open rate of 32% and click through rate (% of openers who clicked) of 4.6%.</w:t>
            </w:r>
          </w:p>
          <w:p w14:paraId="20D469F6" w14:textId="77777777" w:rsidR="00DB1C0E" w:rsidRPr="00DB1C0E" w:rsidRDefault="00DB1C0E" w:rsidP="00DB1C0E">
            <w:pPr>
              <w:pStyle w:val="ListParagraph"/>
              <w:numPr>
                <w:ilvl w:val="0"/>
                <w:numId w:val="46"/>
              </w:numPr>
              <w:rPr>
                <w:rFonts w:asciiTheme="minorHAnsi" w:hAnsiTheme="minorHAnsi" w:cstheme="minorHAnsi"/>
              </w:rPr>
            </w:pPr>
            <w:r w:rsidRPr="00DB1C0E">
              <w:rPr>
                <w:rFonts w:asciiTheme="minorHAnsi" w:hAnsiTheme="minorHAnsi" w:cstheme="minorHAnsi"/>
              </w:rPr>
              <w:t>Most read items:</w:t>
            </w:r>
          </w:p>
          <w:p w14:paraId="0FF1B998" w14:textId="77777777" w:rsidR="00DB1C0E" w:rsidRPr="00DB1C0E" w:rsidRDefault="00DB1C0E" w:rsidP="00DB1C0E">
            <w:pPr>
              <w:pStyle w:val="ListParagraph"/>
              <w:numPr>
                <w:ilvl w:val="1"/>
                <w:numId w:val="46"/>
              </w:numPr>
              <w:rPr>
                <w:rFonts w:asciiTheme="minorHAnsi" w:hAnsiTheme="minorHAnsi" w:cstheme="minorHAnsi"/>
              </w:rPr>
            </w:pPr>
            <w:r w:rsidRPr="00DB1C0E">
              <w:rPr>
                <w:rFonts w:asciiTheme="minorHAnsi" w:hAnsiTheme="minorHAnsi" w:cstheme="minorHAnsi"/>
              </w:rPr>
              <w:t>#1 Dear Architect</w:t>
            </w:r>
          </w:p>
          <w:p w14:paraId="4769AAAD" w14:textId="77777777" w:rsidR="00DB1C0E" w:rsidRPr="00DB1C0E" w:rsidRDefault="00DB1C0E" w:rsidP="00DB1C0E">
            <w:pPr>
              <w:pStyle w:val="ListParagraph"/>
              <w:numPr>
                <w:ilvl w:val="1"/>
                <w:numId w:val="46"/>
              </w:numPr>
              <w:rPr>
                <w:rFonts w:asciiTheme="minorHAnsi" w:hAnsiTheme="minorHAnsi" w:cstheme="minorHAnsi"/>
              </w:rPr>
            </w:pPr>
            <w:r w:rsidRPr="00DB1C0E">
              <w:rPr>
                <w:rFonts w:asciiTheme="minorHAnsi" w:hAnsiTheme="minorHAnsi" w:cstheme="minorHAnsi"/>
              </w:rPr>
              <w:t xml:space="preserve">#2 Update your personal </w:t>
            </w:r>
            <w:proofErr w:type="gramStart"/>
            <w:r w:rsidRPr="00DB1C0E">
              <w:rPr>
                <w:rFonts w:asciiTheme="minorHAnsi" w:hAnsiTheme="minorHAnsi" w:cstheme="minorHAnsi"/>
              </w:rPr>
              <w:t>details</w:t>
            </w:r>
            <w:proofErr w:type="gramEnd"/>
          </w:p>
          <w:p w14:paraId="3BC57A00" w14:textId="77777777" w:rsidR="00DB1C0E" w:rsidRPr="00DB1C0E" w:rsidRDefault="00DB1C0E" w:rsidP="00DB1C0E">
            <w:pPr>
              <w:pStyle w:val="ListParagraph"/>
              <w:numPr>
                <w:ilvl w:val="1"/>
                <w:numId w:val="46"/>
              </w:numPr>
              <w:rPr>
                <w:rFonts w:asciiTheme="minorHAnsi" w:hAnsiTheme="minorHAnsi" w:cstheme="minorHAnsi"/>
              </w:rPr>
            </w:pPr>
            <w:r w:rsidRPr="00DB1C0E">
              <w:rPr>
                <w:rFonts w:asciiTheme="minorHAnsi" w:hAnsiTheme="minorHAnsi" w:cstheme="minorHAnsi"/>
              </w:rPr>
              <w:t>#3 Chair’s message</w:t>
            </w:r>
          </w:p>
          <w:p w14:paraId="21E632F6" w14:textId="77777777" w:rsidR="00DB1C0E" w:rsidRPr="00DB1C0E" w:rsidRDefault="00DB1C0E" w:rsidP="00DB1C0E">
            <w:pPr>
              <w:rPr>
                <w:rFonts w:asciiTheme="minorHAnsi" w:hAnsiTheme="minorHAnsi" w:cstheme="minorHAnsi"/>
              </w:rPr>
            </w:pPr>
          </w:p>
          <w:p w14:paraId="173DBC7F" w14:textId="77777777" w:rsidR="00DB1C0E" w:rsidRPr="00DB1C0E" w:rsidRDefault="00DB1C0E" w:rsidP="00DB1C0E">
            <w:pPr>
              <w:rPr>
                <w:rFonts w:asciiTheme="minorHAnsi" w:hAnsiTheme="minorHAnsi" w:cstheme="minorHAnsi"/>
              </w:rPr>
            </w:pPr>
          </w:p>
          <w:p w14:paraId="3674FF4C" w14:textId="77777777" w:rsidR="00DB1C0E" w:rsidRPr="00DB1C0E" w:rsidRDefault="00DB1C0E" w:rsidP="00DB1C0E">
            <w:pPr>
              <w:rPr>
                <w:rFonts w:asciiTheme="minorHAnsi" w:hAnsiTheme="minorHAnsi" w:cstheme="minorHAnsi"/>
              </w:rPr>
            </w:pPr>
            <w:r w:rsidRPr="00DB1C0E">
              <w:rPr>
                <w:rFonts w:asciiTheme="minorHAnsi" w:hAnsiTheme="minorHAnsi" w:cstheme="minorHAnsi"/>
              </w:rPr>
              <w:t>Social</w:t>
            </w:r>
          </w:p>
          <w:p w14:paraId="4172D210" w14:textId="77777777" w:rsidR="00DB1C0E" w:rsidRPr="00DB1C0E" w:rsidRDefault="00DB1C0E" w:rsidP="00DB1C0E">
            <w:pPr>
              <w:pStyle w:val="ListParagraph"/>
              <w:numPr>
                <w:ilvl w:val="0"/>
                <w:numId w:val="45"/>
              </w:numPr>
              <w:rPr>
                <w:rFonts w:asciiTheme="minorHAnsi" w:hAnsiTheme="minorHAnsi" w:cstheme="minorHAnsi"/>
              </w:rPr>
            </w:pPr>
            <w:r w:rsidRPr="00DB1C0E">
              <w:rPr>
                <w:rFonts w:asciiTheme="minorHAnsi" w:hAnsiTheme="minorHAnsi" w:cstheme="minorHAnsi"/>
              </w:rPr>
              <w:t xml:space="preserve">Social engagement overall is above the monthly average for </w:t>
            </w:r>
            <w:proofErr w:type="gramStart"/>
            <w:r w:rsidRPr="00DB1C0E">
              <w:rPr>
                <w:rFonts w:asciiTheme="minorHAnsi" w:hAnsiTheme="minorHAnsi" w:cstheme="minorHAnsi"/>
              </w:rPr>
              <w:t>2021</w:t>
            </w:r>
            <w:proofErr w:type="gramEnd"/>
          </w:p>
          <w:p w14:paraId="6CF18647" w14:textId="77777777" w:rsidR="00DB1C0E" w:rsidRPr="00DB1C0E" w:rsidRDefault="00DB1C0E" w:rsidP="00DB1C0E">
            <w:pPr>
              <w:pStyle w:val="ListParagraph"/>
              <w:numPr>
                <w:ilvl w:val="0"/>
                <w:numId w:val="45"/>
              </w:numPr>
              <w:rPr>
                <w:rFonts w:asciiTheme="minorHAnsi" w:hAnsiTheme="minorHAnsi" w:cstheme="minorHAnsi"/>
              </w:rPr>
            </w:pPr>
            <w:r w:rsidRPr="00DB1C0E">
              <w:rPr>
                <w:rFonts w:asciiTheme="minorHAnsi" w:hAnsiTheme="minorHAnsi" w:cstheme="minorHAnsi"/>
              </w:rPr>
              <w:t xml:space="preserve">Stand-out content in terms of performance has been around upcoming changes to the Architects Act (Facebook) and our engagement with the profession (Twitter) which has resulted in additional engagement events with stakeholders. </w:t>
            </w:r>
            <w:r w:rsidRPr="00DB1C0E">
              <w:rPr>
                <w:rFonts w:asciiTheme="minorHAnsi" w:hAnsiTheme="minorHAnsi" w:cstheme="minorHAnsi"/>
                <w:i/>
                <w:iCs/>
              </w:rPr>
              <w:t>[ARB/ CPD/ IET/ EDI]</w:t>
            </w:r>
          </w:p>
          <w:p w14:paraId="08B9432A" w14:textId="77777777" w:rsidR="00DB1C0E" w:rsidRPr="00DB1C0E" w:rsidRDefault="00DB1C0E" w:rsidP="00DB1C0E">
            <w:pPr>
              <w:rPr>
                <w:rFonts w:asciiTheme="minorHAnsi" w:hAnsiTheme="minorHAnsi" w:cstheme="minorHAnsi"/>
              </w:rPr>
            </w:pPr>
          </w:p>
          <w:p w14:paraId="46524EFD" w14:textId="33517F82" w:rsidR="00DB1C0E" w:rsidRPr="00DB1C0E" w:rsidRDefault="00DB1C0E" w:rsidP="00DB1C0E">
            <w:pPr>
              <w:rPr>
                <w:rFonts w:asciiTheme="minorHAnsi" w:hAnsiTheme="minorHAnsi" w:cstheme="minorHAnsi"/>
                <w:highlight w:val="yellow"/>
              </w:rPr>
            </w:pPr>
            <w:r w:rsidRPr="00DB1C0E">
              <w:rPr>
                <w:rFonts w:asciiTheme="minorHAnsi" w:hAnsiTheme="minorHAnsi" w:cstheme="minorHAnsi"/>
                <w:noProof/>
              </w:rPr>
              <w:drawing>
                <wp:anchor distT="0" distB="0" distL="114300" distR="114300" simplePos="0" relativeHeight="251663360" behindDoc="0" locked="0" layoutInCell="1" allowOverlap="1" wp14:anchorId="1B2FF9DF" wp14:editId="11E18AEE">
                  <wp:simplePos x="0" y="0"/>
                  <wp:positionH relativeFrom="column">
                    <wp:posOffset>3680460</wp:posOffset>
                  </wp:positionH>
                  <wp:positionV relativeFrom="paragraph">
                    <wp:posOffset>157480</wp:posOffset>
                  </wp:positionV>
                  <wp:extent cx="2186940" cy="1988820"/>
                  <wp:effectExtent l="0" t="0" r="3810" b="11430"/>
                  <wp:wrapThrough wrapText="bothSides">
                    <wp:wrapPolygon edited="0">
                      <wp:start x="0" y="0"/>
                      <wp:lineTo x="0" y="21517"/>
                      <wp:lineTo x="21449" y="21517"/>
                      <wp:lineTo x="21449" y="0"/>
                      <wp:lineTo x="0" y="0"/>
                    </wp:wrapPolygon>
                  </wp:wrapThrough>
                  <wp:docPr id="7" name="Chart 7">
                    <a:extLst xmlns:a="http://schemas.openxmlformats.org/drawingml/2006/main">
                      <a:ext uri="{FF2B5EF4-FFF2-40B4-BE49-F238E27FC236}">
                        <a16:creationId xmlns:a16="http://schemas.microsoft.com/office/drawing/2014/main" id="{ABF74FCD-1D65-440A-B689-7214BDCD68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DB1C0E">
              <w:rPr>
                <w:rFonts w:asciiTheme="minorHAnsi" w:hAnsiTheme="minorHAnsi" w:cstheme="minorHAnsi"/>
                <w:noProof/>
              </w:rPr>
              <w:drawing>
                <wp:anchor distT="0" distB="0" distL="114300" distR="114300" simplePos="0" relativeHeight="251665408" behindDoc="1" locked="0" layoutInCell="1" allowOverlap="1" wp14:anchorId="60C51232" wp14:editId="6BE05FB1">
                  <wp:simplePos x="0" y="0"/>
                  <wp:positionH relativeFrom="column">
                    <wp:posOffset>-68580</wp:posOffset>
                  </wp:positionH>
                  <wp:positionV relativeFrom="paragraph">
                    <wp:posOffset>158115</wp:posOffset>
                  </wp:positionV>
                  <wp:extent cx="2247900" cy="1988820"/>
                  <wp:effectExtent l="0" t="0" r="0" b="11430"/>
                  <wp:wrapTight wrapText="bothSides">
                    <wp:wrapPolygon edited="0">
                      <wp:start x="0" y="0"/>
                      <wp:lineTo x="0" y="21517"/>
                      <wp:lineTo x="21417" y="21517"/>
                      <wp:lineTo x="21417" y="0"/>
                      <wp:lineTo x="0" y="0"/>
                    </wp:wrapPolygon>
                  </wp:wrapTight>
                  <wp:docPr id="5" name="Chart 5">
                    <a:extLst xmlns:a="http://schemas.openxmlformats.org/drawingml/2006/main">
                      <a:ext uri="{FF2B5EF4-FFF2-40B4-BE49-F238E27FC236}">
                        <a16:creationId xmlns:a16="http://schemas.microsoft.com/office/drawing/2014/main" id="{3752FBA4-6F4F-424A-8292-A5C4890F0B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5EAD2A9B" w14:textId="5575F548" w:rsidR="00DB1C0E" w:rsidRPr="00DB1C0E" w:rsidRDefault="00DB1C0E" w:rsidP="00DB1C0E">
            <w:pPr>
              <w:rPr>
                <w:rFonts w:asciiTheme="minorHAnsi" w:hAnsiTheme="minorHAnsi" w:cstheme="minorHAnsi"/>
                <w:highlight w:val="yellow"/>
              </w:rPr>
            </w:pPr>
            <w:r w:rsidRPr="00DB1C0E">
              <w:rPr>
                <w:rFonts w:asciiTheme="minorHAnsi" w:hAnsiTheme="minorHAnsi" w:cstheme="minorHAnsi"/>
                <w:noProof/>
              </w:rPr>
              <w:drawing>
                <wp:anchor distT="0" distB="0" distL="114300" distR="114300" simplePos="0" relativeHeight="251664384" behindDoc="0" locked="0" layoutInCell="1" allowOverlap="1" wp14:anchorId="4EA619A6" wp14:editId="0F775957">
                  <wp:simplePos x="0" y="0"/>
                  <wp:positionH relativeFrom="column">
                    <wp:posOffset>1844040</wp:posOffset>
                  </wp:positionH>
                  <wp:positionV relativeFrom="paragraph">
                    <wp:posOffset>0</wp:posOffset>
                  </wp:positionV>
                  <wp:extent cx="2316480" cy="1988820"/>
                  <wp:effectExtent l="0" t="0" r="7620" b="11430"/>
                  <wp:wrapThrough wrapText="bothSides">
                    <wp:wrapPolygon edited="0">
                      <wp:start x="0" y="0"/>
                      <wp:lineTo x="0" y="21517"/>
                      <wp:lineTo x="21493" y="21517"/>
                      <wp:lineTo x="21493" y="0"/>
                      <wp:lineTo x="0" y="0"/>
                    </wp:wrapPolygon>
                  </wp:wrapThrough>
                  <wp:docPr id="6" name="Chart 6">
                    <a:extLst xmlns:a="http://schemas.openxmlformats.org/drawingml/2006/main">
                      <a:ext uri="{FF2B5EF4-FFF2-40B4-BE49-F238E27FC236}">
                        <a16:creationId xmlns:a16="http://schemas.microsoft.com/office/drawing/2014/main" id="{66E58367-9844-4204-9243-DA52230259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34486F53" w14:textId="77777777" w:rsidR="00DB1C0E" w:rsidRPr="00DB1C0E" w:rsidRDefault="00DB1C0E" w:rsidP="00DB1C0E">
            <w:pPr>
              <w:rPr>
                <w:rFonts w:asciiTheme="minorHAnsi" w:hAnsiTheme="minorHAnsi" w:cstheme="minorHAnsi"/>
                <w:highlight w:val="yellow"/>
              </w:rPr>
            </w:pPr>
          </w:p>
          <w:p w14:paraId="0AFF39FA" w14:textId="77777777" w:rsidR="00DB1C0E" w:rsidRPr="00DB1C0E" w:rsidRDefault="00DB1C0E" w:rsidP="00DB1C0E">
            <w:pPr>
              <w:rPr>
                <w:rFonts w:asciiTheme="minorHAnsi" w:hAnsiTheme="minorHAnsi" w:cstheme="minorHAnsi"/>
                <w:b/>
                <w:bCs/>
                <w:sz w:val="28"/>
                <w:szCs w:val="28"/>
              </w:rPr>
            </w:pPr>
            <w:r w:rsidRPr="00DB1C0E">
              <w:rPr>
                <w:rFonts w:asciiTheme="minorHAnsi" w:hAnsiTheme="minorHAnsi" w:cstheme="minorHAnsi"/>
                <w:b/>
                <w:bCs/>
                <w:sz w:val="28"/>
                <w:szCs w:val="28"/>
              </w:rPr>
              <w:t>Media coverage</w:t>
            </w:r>
          </w:p>
          <w:p w14:paraId="7C5FDE78" w14:textId="77777777" w:rsidR="00DB1C0E" w:rsidRPr="006326CB" w:rsidRDefault="00DB1C0E" w:rsidP="00DB1C0E">
            <w:pPr>
              <w:rPr>
                <w:rFonts w:asciiTheme="minorHAnsi" w:hAnsiTheme="minorHAnsi" w:cstheme="minorHAnsi"/>
                <w:b/>
                <w:bCs/>
                <w:sz w:val="24"/>
                <w:szCs w:val="24"/>
              </w:rPr>
            </w:pPr>
          </w:p>
          <w:p w14:paraId="04E699B5" w14:textId="77777777" w:rsidR="00DB1C0E" w:rsidRPr="006326CB" w:rsidRDefault="00DB1C0E" w:rsidP="00DB1C0E">
            <w:pPr>
              <w:rPr>
                <w:rFonts w:asciiTheme="minorHAnsi" w:hAnsiTheme="minorHAnsi" w:cstheme="minorHAnsi"/>
                <w:sz w:val="24"/>
                <w:szCs w:val="24"/>
              </w:rPr>
            </w:pPr>
            <w:r w:rsidRPr="006326CB">
              <w:rPr>
                <w:rFonts w:asciiTheme="minorHAnsi" w:hAnsiTheme="minorHAnsi" w:cstheme="minorHAnsi"/>
                <w:sz w:val="24"/>
                <w:szCs w:val="24"/>
              </w:rPr>
              <w:t>Please find below a selection of coverage where ARB is mentioned:</w:t>
            </w:r>
          </w:p>
          <w:p w14:paraId="1DA36ED3" w14:textId="77777777" w:rsidR="00DB1C0E" w:rsidRPr="00DB1C0E" w:rsidRDefault="00DB1C0E" w:rsidP="00DB1C0E">
            <w:pPr>
              <w:rPr>
                <w:rFonts w:asciiTheme="minorHAnsi" w:hAnsiTheme="minorHAnsi" w:cstheme="minorHAnsi"/>
              </w:rPr>
            </w:pPr>
          </w:p>
          <w:p w14:paraId="21DF65BA" w14:textId="77777777" w:rsidR="00DB1C0E" w:rsidRPr="00DB1C0E" w:rsidRDefault="00DB1C0E" w:rsidP="00DB1C0E">
            <w:pPr>
              <w:pStyle w:val="ListParagraph"/>
              <w:numPr>
                <w:ilvl w:val="0"/>
                <w:numId w:val="47"/>
              </w:numPr>
              <w:rPr>
                <w:rFonts w:asciiTheme="minorHAnsi" w:hAnsiTheme="minorHAnsi" w:cstheme="minorHAnsi"/>
              </w:rPr>
            </w:pPr>
            <w:r w:rsidRPr="00DB1C0E">
              <w:rPr>
                <w:rFonts w:asciiTheme="minorHAnsi" w:hAnsiTheme="minorHAnsi" w:cstheme="minorHAnsi"/>
              </w:rPr>
              <w:t>May</w:t>
            </w:r>
          </w:p>
          <w:p w14:paraId="124E5894" w14:textId="77777777" w:rsidR="00DB1C0E" w:rsidRPr="00DB1C0E" w:rsidRDefault="00DB1C0E" w:rsidP="00DB1C0E">
            <w:pPr>
              <w:pStyle w:val="ListParagraph"/>
              <w:numPr>
                <w:ilvl w:val="1"/>
                <w:numId w:val="47"/>
              </w:numPr>
              <w:rPr>
                <w:rFonts w:asciiTheme="minorHAnsi" w:hAnsiTheme="minorHAnsi" w:cstheme="minorHAnsi"/>
              </w:rPr>
            </w:pPr>
            <w:r w:rsidRPr="00DB1C0E">
              <w:rPr>
                <w:rFonts w:asciiTheme="minorHAnsi" w:hAnsiTheme="minorHAnsi" w:cstheme="minorHAnsi"/>
              </w:rPr>
              <w:t xml:space="preserve">Architectural Review: </w:t>
            </w:r>
            <w:hyperlink r:id="rId18" w:history="1">
              <w:r w:rsidRPr="00DB1C0E">
                <w:rPr>
                  <w:rStyle w:val="Hyperlink"/>
                  <w:rFonts w:asciiTheme="minorHAnsi" w:hAnsiTheme="minorHAnsi" w:cstheme="minorHAnsi"/>
                </w:rPr>
                <w:t>Architecture workers of the world, unite</w:t>
              </w:r>
            </w:hyperlink>
          </w:p>
          <w:p w14:paraId="62A8EE98" w14:textId="77777777" w:rsidR="00DB1C0E" w:rsidRPr="00DB1C0E" w:rsidRDefault="00DB1C0E" w:rsidP="00DB1C0E">
            <w:pPr>
              <w:pStyle w:val="ListParagraph"/>
              <w:numPr>
                <w:ilvl w:val="0"/>
                <w:numId w:val="47"/>
              </w:numPr>
              <w:rPr>
                <w:rFonts w:asciiTheme="minorHAnsi" w:hAnsiTheme="minorHAnsi" w:cstheme="minorHAnsi"/>
              </w:rPr>
            </w:pPr>
            <w:r w:rsidRPr="00DB1C0E">
              <w:rPr>
                <w:rFonts w:asciiTheme="minorHAnsi" w:hAnsiTheme="minorHAnsi" w:cstheme="minorHAnsi"/>
              </w:rPr>
              <w:t>June</w:t>
            </w:r>
          </w:p>
          <w:p w14:paraId="05D62C57" w14:textId="77777777" w:rsidR="00DB1C0E" w:rsidRPr="00DB1C0E" w:rsidRDefault="00DB1C0E" w:rsidP="00DB1C0E">
            <w:pPr>
              <w:pStyle w:val="ListParagraph"/>
              <w:numPr>
                <w:ilvl w:val="1"/>
                <w:numId w:val="47"/>
              </w:numPr>
              <w:rPr>
                <w:rFonts w:asciiTheme="minorHAnsi" w:hAnsiTheme="minorHAnsi" w:cstheme="minorHAnsi"/>
              </w:rPr>
            </w:pPr>
            <w:r w:rsidRPr="00DB1C0E">
              <w:rPr>
                <w:rFonts w:asciiTheme="minorHAnsi" w:hAnsiTheme="minorHAnsi" w:cstheme="minorHAnsi"/>
              </w:rPr>
              <w:t>Building Design: </w:t>
            </w:r>
            <w:hyperlink r:id="rId19" w:history="1">
              <w:r w:rsidRPr="00DB1C0E">
                <w:rPr>
                  <w:rStyle w:val="Hyperlink"/>
                  <w:rFonts w:asciiTheme="minorHAnsi" w:hAnsiTheme="minorHAnsi" w:cstheme="minorHAnsi"/>
                </w:rPr>
                <w:t>Profession cheers decision to recognise qualifications of overseas architects</w:t>
              </w:r>
            </w:hyperlink>
          </w:p>
          <w:p w14:paraId="046FC765" w14:textId="77777777" w:rsidR="00DB1C0E" w:rsidRPr="00DB1C0E" w:rsidRDefault="00DB1C0E" w:rsidP="00DB1C0E">
            <w:pPr>
              <w:pStyle w:val="ListParagraph"/>
              <w:numPr>
                <w:ilvl w:val="1"/>
                <w:numId w:val="47"/>
              </w:numPr>
              <w:rPr>
                <w:rFonts w:asciiTheme="minorHAnsi" w:hAnsiTheme="minorHAnsi" w:cstheme="minorHAnsi"/>
              </w:rPr>
            </w:pPr>
            <w:r w:rsidRPr="00DB1C0E">
              <w:rPr>
                <w:rFonts w:asciiTheme="minorHAnsi" w:hAnsiTheme="minorHAnsi" w:cstheme="minorHAnsi"/>
              </w:rPr>
              <w:t xml:space="preserve">Architects Journal: </w:t>
            </w:r>
            <w:hyperlink r:id="rId20" w:history="1">
              <w:r w:rsidRPr="00DB1C0E">
                <w:rPr>
                  <w:rStyle w:val="Hyperlink"/>
                  <w:rFonts w:asciiTheme="minorHAnsi" w:hAnsiTheme="minorHAnsi" w:cstheme="minorHAnsi"/>
                </w:rPr>
                <w:t>Architect Reprimanded after calling council officer C-word</w:t>
              </w:r>
            </w:hyperlink>
          </w:p>
          <w:p w14:paraId="4F413399" w14:textId="77777777" w:rsidR="00DB1C0E" w:rsidRPr="00DB1C0E" w:rsidRDefault="00DB1C0E" w:rsidP="00DB1C0E">
            <w:pPr>
              <w:pStyle w:val="ListParagraph"/>
              <w:numPr>
                <w:ilvl w:val="0"/>
                <w:numId w:val="47"/>
              </w:numPr>
              <w:rPr>
                <w:rFonts w:asciiTheme="minorHAnsi" w:hAnsiTheme="minorHAnsi" w:cstheme="minorHAnsi"/>
              </w:rPr>
            </w:pPr>
            <w:r w:rsidRPr="00DB1C0E">
              <w:rPr>
                <w:rFonts w:asciiTheme="minorHAnsi" w:hAnsiTheme="minorHAnsi" w:cstheme="minorHAnsi"/>
              </w:rPr>
              <w:t>July</w:t>
            </w:r>
          </w:p>
          <w:p w14:paraId="1365607B" w14:textId="77777777" w:rsidR="00DB1C0E" w:rsidRPr="00DB1C0E" w:rsidRDefault="00DB1C0E" w:rsidP="00DB1C0E">
            <w:pPr>
              <w:pStyle w:val="ListParagraph"/>
              <w:numPr>
                <w:ilvl w:val="1"/>
                <w:numId w:val="47"/>
              </w:numPr>
              <w:rPr>
                <w:rFonts w:asciiTheme="minorHAnsi" w:hAnsiTheme="minorHAnsi" w:cstheme="minorHAnsi"/>
              </w:rPr>
            </w:pPr>
            <w:r w:rsidRPr="00DB1C0E">
              <w:rPr>
                <w:rFonts w:asciiTheme="minorHAnsi" w:hAnsiTheme="minorHAnsi" w:cstheme="minorHAnsi"/>
              </w:rPr>
              <w:t xml:space="preserve">Architects Journal: </w:t>
            </w:r>
            <w:hyperlink r:id="rId21" w:tgtFrame="_blank" w:tooltip="View in Content Viewer" w:history="1">
              <w:r w:rsidRPr="00DB1C0E">
                <w:rPr>
                  <w:rStyle w:val="Hyperlink"/>
                  <w:rFonts w:asciiTheme="minorHAnsi" w:hAnsiTheme="minorHAnsi" w:cstheme="minorHAnsi"/>
                </w:rPr>
                <w:t>Government finally introduces far-reaching Building Safety Bill</w:t>
              </w:r>
            </w:hyperlink>
          </w:p>
          <w:p w14:paraId="333317BD" w14:textId="77777777" w:rsidR="00DB1C0E" w:rsidRPr="00DB1C0E" w:rsidRDefault="00DB1C0E" w:rsidP="00DB1C0E">
            <w:pPr>
              <w:pStyle w:val="ListParagraph"/>
              <w:numPr>
                <w:ilvl w:val="1"/>
                <w:numId w:val="47"/>
              </w:numPr>
              <w:rPr>
                <w:rFonts w:asciiTheme="minorHAnsi" w:hAnsiTheme="minorHAnsi" w:cstheme="minorHAnsi"/>
              </w:rPr>
            </w:pPr>
            <w:r w:rsidRPr="00DB1C0E">
              <w:rPr>
                <w:rFonts w:asciiTheme="minorHAnsi" w:hAnsiTheme="minorHAnsi" w:cstheme="minorHAnsi"/>
              </w:rPr>
              <w:t xml:space="preserve">Architects Journal: </w:t>
            </w:r>
            <w:hyperlink r:id="rId22" w:history="1">
              <w:r w:rsidRPr="00DB1C0E">
                <w:rPr>
                  <w:rStyle w:val="Hyperlink"/>
                  <w:rFonts w:asciiTheme="minorHAnsi" w:hAnsiTheme="minorHAnsi" w:cstheme="minorHAnsi"/>
                </w:rPr>
                <w:t>Architect numbers fall after plunge in EU applications</w:t>
              </w:r>
            </w:hyperlink>
          </w:p>
          <w:p w14:paraId="4A228B52" w14:textId="77777777" w:rsidR="00DB1C0E" w:rsidRPr="00DB1C0E" w:rsidRDefault="00DB1C0E" w:rsidP="00DB1C0E">
            <w:pPr>
              <w:pStyle w:val="ListParagraph"/>
              <w:numPr>
                <w:ilvl w:val="1"/>
                <w:numId w:val="47"/>
              </w:numPr>
              <w:rPr>
                <w:rFonts w:asciiTheme="minorHAnsi" w:hAnsiTheme="minorHAnsi" w:cstheme="minorHAnsi"/>
              </w:rPr>
            </w:pPr>
            <w:r w:rsidRPr="00DB1C0E">
              <w:rPr>
                <w:rFonts w:asciiTheme="minorHAnsi" w:hAnsiTheme="minorHAnsi" w:cstheme="minorHAnsi"/>
              </w:rPr>
              <w:t xml:space="preserve">Building.co.uk: </w:t>
            </w:r>
            <w:hyperlink r:id="rId23" w:history="1">
              <w:r w:rsidRPr="00DB1C0E">
                <w:rPr>
                  <w:rStyle w:val="Hyperlink"/>
                  <w:rFonts w:asciiTheme="minorHAnsi" w:hAnsiTheme="minorHAnsi" w:cstheme="minorHAnsi"/>
                </w:rPr>
                <w:t>Building Safety Bill is ‘industry’s opportunity to embrace far-reaching change’</w:t>
              </w:r>
            </w:hyperlink>
          </w:p>
          <w:p w14:paraId="2A47A494" w14:textId="77777777" w:rsidR="00DB1C0E" w:rsidRPr="00DB1C0E" w:rsidRDefault="00DB1C0E" w:rsidP="00DB1C0E">
            <w:pPr>
              <w:pStyle w:val="ListParagraph"/>
              <w:numPr>
                <w:ilvl w:val="1"/>
                <w:numId w:val="47"/>
              </w:numPr>
              <w:rPr>
                <w:rFonts w:asciiTheme="minorHAnsi" w:hAnsiTheme="minorHAnsi" w:cstheme="minorHAnsi"/>
              </w:rPr>
            </w:pPr>
            <w:r w:rsidRPr="00DB1C0E">
              <w:rPr>
                <w:rFonts w:asciiTheme="minorHAnsi" w:hAnsiTheme="minorHAnsi" w:cstheme="minorHAnsi"/>
              </w:rPr>
              <w:t xml:space="preserve">Building Design: </w:t>
            </w:r>
            <w:hyperlink r:id="rId24" w:history="1">
              <w:r w:rsidRPr="00DB1C0E">
                <w:rPr>
                  <w:rStyle w:val="Hyperlink"/>
                  <w:rFonts w:asciiTheme="minorHAnsi" w:hAnsiTheme="minorHAnsi" w:cstheme="minorHAnsi"/>
                </w:rPr>
                <w:t>Arb reports 50% plunge in applications from EU architects</w:t>
              </w:r>
            </w:hyperlink>
          </w:p>
          <w:p w14:paraId="153139F0" w14:textId="498F53BA" w:rsidR="008E23BE" w:rsidRPr="00DB1C0E" w:rsidRDefault="008E23BE" w:rsidP="005129CB">
            <w:pPr>
              <w:shd w:val="clear" w:color="auto" w:fill="FFFFFF" w:themeFill="background1"/>
              <w:spacing w:before="40" w:after="40" w:line="240" w:lineRule="atLeast"/>
              <w:jc w:val="both"/>
              <w:rPr>
                <w:rFonts w:asciiTheme="minorHAnsi" w:hAnsiTheme="minorHAnsi" w:cstheme="minorHAnsi"/>
                <w:color w:val="4F81BD"/>
                <w:sz w:val="24"/>
                <w:szCs w:val="24"/>
              </w:rPr>
            </w:pPr>
          </w:p>
        </w:tc>
      </w:tr>
      <w:tr w:rsidR="008E23BE" w:rsidRPr="000273C9" w14:paraId="1EE4F2DB" w14:textId="77777777" w:rsidTr="00B63F59">
        <w:tc>
          <w:tcPr>
            <w:tcW w:w="534" w:type="dxa"/>
            <w:shd w:val="clear" w:color="auto" w:fill="auto"/>
          </w:tcPr>
          <w:p w14:paraId="17253EC8" w14:textId="5D28A37B" w:rsidR="008E23BE" w:rsidRPr="000273C9" w:rsidRDefault="001E2870" w:rsidP="00D90C1B">
            <w:pPr>
              <w:spacing w:before="40" w:after="40" w:line="240" w:lineRule="atLeast"/>
              <w:jc w:val="both"/>
              <w:rPr>
                <w:rFonts w:ascii="Helvetica 65 Medium" w:hAnsi="Helvetica 65 Medium"/>
                <w:sz w:val="24"/>
                <w:szCs w:val="24"/>
              </w:rPr>
            </w:pPr>
            <w:r>
              <w:rPr>
                <w:rFonts w:ascii="Calibri" w:hAnsi="Calibri" w:cs="Calibri"/>
                <w:b/>
                <w:color w:val="4F81BD"/>
                <w:sz w:val="24"/>
                <w:szCs w:val="24"/>
              </w:rPr>
              <w:lastRenderedPageBreak/>
              <w:t>6</w:t>
            </w:r>
            <w:r w:rsidR="008E23BE">
              <w:rPr>
                <w:rFonts w:ascii="Calibri" w:hAnsi="Calibri" w:cs="Calibri"/>
                <w:b/>
                <w:color w:val="4F81BD"/>
                <w:sz w:val="24"/>
                <w:szCs w:val="24"/>
              </w:rPr>
              <w:t xml:space="preserve">. </w:t>
            </w:r>
          </w:p>
        </w:tc>
        <w:tc>
          <w:tcPr>
            <w:tcW w:w="9355" w:type="dxa"/>
            <w:gridSpan w:val="3"/>
            <w:shd w:val="clear" w:color="auto" w:fill="auto"/>
          </w:tcPr>
          <w:p w14:paraId="0AE63CB3" w14:textId="77777777" w:rsidR="008E23BE" w:rsidRDefault="008E23BE" w:rsidP="001016AC">
            <w:pPr>
              <w:spacing w:before="40" w:after="40" w:line="240" w:lineRule="atLeast"/>
              <w:jc w:val="both"/>
              <w:rPr>
                <w:rFonts w:ascii="Calibri" w:hAnsi="Calibri" w:cs="Calibri"/>
                <w:b/>
                <w:color w:val="4F81BD"/>
                <w:sz w:val="24"/>
                <w:szCs w:val="24"/>
              </w:rPr>
            </w:pPr>
            <w:r>
              <w:rPr>
                <w:rFonts w:ascii="Calibri" w:hAnsi="Calibri" w:cs="Calibri"/>
                <w:b/>
                <w:color w:val="4F81BD"/>
                <w:sz w:val="24"/>
                <w:szCs w:val="24"/>
              </w:rPr>
              <w:t>Resource Implications</w:t>
            </w:r>
          </w:p>
          <w:p w14:paraId="3DB361CA" w14:textId="77777777" w:rsidR="008E23BE" w:rsidRPr="001E341B" w:rsidRDefault="008E23BE" w:rsidP="001016AC">
            <w:pPr>
              <w:spacing w:before="40" w:after="40" w:line="240" w:lineRule="atLeast"/>
              <w:jc w:val="both"/>
              <w:rPr>
                <w:rFonts w:ascii="Calibri" w:hAnsi="Calibri" w:cs="Calibri"/>
                <w:color w:val="000000" w:themeColor="text1"/>
                <w:sz w:val="24"/>
                <w:szCs w:val="24"/>
              </w:rPr>
            </w:pPr>
            <w:r w:rsidRPr="001E341B">
              <w:rPr>
                <w:rFonts w:ascii="Calibri" w:hAnsi="Calibri" w:cs="Calibri"/>
                <w:color w:val="000000" w:themeColor="text1"/>
                <w:sz w:val="24"/>
                <w:szCs w:val="24"/>
              </w:rPr>
              <w:t>Only as identified in the paper.</w:t>
            </w:r>
          </w:p>
          <w:p w14:paraId="25BB5628" w14:textId="77777777" w:rsidR="008E23BE" w:rsidRPr="000C11C7" w:rsidRDefault="008E23BE" w:rsidP="001016AC">
            <w:pPr>
              <w:spacing w:before="40" w:after="40" w:line="240" w:lineRule="atLeast"/>
              <w:jc w:val="both"/>
              <w:rPr>
                <w:rFonts w:ascii="Calibri" w:hAnsi="Calibri" w:cs="Calibri"/>
                <w:b/>
                <w:color w:val="4F81BD"/>
                <w:sz w:val="24"/>
                <w:szCs w:val="24"/>
              </w:rPr>
            </w:pPr>
          </w:p>
        </w:tc>
      </w:tr>
      <w:tr w:rsidR="008E23BE" w:rsidRPr="000273C9" w14:paraId="33216358" w14:textId="77777777" w:rsidTr="00B63F59">
        <w:tc>
          <w:tcPr>
            <w:tcW w:w="534" w:type="dxa"/>
            <w:shd w:val="clear" w:color="auto" w:fill="auto"/>
          </w:tcPr>
          <w:p w14:paraId="5045897C" w14:textId="439F6EC2" w:rsidR="008E23BE" w:rsidRPr="000273C9" w:rsidRDefault="001E2870" w:rsidP="00D90C1B">
            <w:pPr>
              <w:spacing w:before="40" w:after="40" w:line="240" w:lineRule="atLeast"/>
              <w:rPr>
                <w:rFonts w:ascii="Helvetica 65 Medium" w:hAnsi="Helvetica 65 Medium"/>
                <w:sz w:val="24"/>
                <w:szCs w:val="24"/>
              </w:rPr>
            </w:pPr>
            <w:r>
              <w:rPr>
                <w:rFonts w:ascii="Calibri" w:hAnsi="Calibri" w:cs="Calibri"/>
                <w:b/>
                <w:color w:val="4F81BD"/>
                <w:sz w:val="24"/>
                <w:szCs w:val="24"/>
              </w:rPr>
              <w:lastRenderedPageBreak/>
              <w:t>7</w:t>
            </w:r>
            <w:r w:rsidR="008E23BE">
              <w:rPr>
                <w:rFonts w:ascii="Calibri" w:hAnsi="Calibri" w:cs="Calibri"/>
                <w:b/>
                <w:color w:val="4F81BD"/>
                <w:sz w:val="24"/>
                <w:szCs w:val="24"/>
              </w:rPr>
              <w:t>.</w:t>
            </w:r>
          </w:p>
        </w:tc>
        <w:tc>
          <w:tcPr>
            <w:tcW w:w="9355" w:type="dxa"/>
            <w:gridSpan w:val="3"/>
            <w:shd w:val="clear" w:color="auto" w:fill="auto"/>
            <w:vAlign w:val="center"/>
          </w:tcPr>
          <w:p w14:paraId="16B8304B" w14:textId="4FC017FB" w:rsidR="008E23BE" w:rsidRPr="00D90C1B" w:rsidRDefault="008E23BE" w:rsidP="00B63F59">
            <w:pPr>
              <w:rPr>
                <w:rFonts w:ascii="Calibri" w:hAnsi="Calibri" w:cs="Calibri"/>
                <w:sz w:val="24"/>
                <w:szCs w:val="24"/>
                <w:highlight w:val="yellow"/>
              </w:rPr>
            </w:pPr>
            <w:r w:rsidRPr="0035266B">
              <w:rPr>
                <w:rFonts w:ascii="Calibri" w:hAnsi="Calibri" w:cs="Calibri"/>
                <w:b/>
                <w:color w:val="4F81BD"/>
                <w:sz w:val="24"/>
                <w:szCs w:val="24"/>
              </w:rPr>
              <w:t xml:space="preserve">Risk Implications </w:t>
            </w:r>
          </w:p>
        </w:tc>
      </w:tr>
      <w:tr w:rsidR="008E23BE" w:rsidRPr="000273C9" w14:paraId="0151A405" w14:textId="77777777" w:rsidTr="00B63F59">
        <w:tc>
          <w:tcPr>
            <w:tcW w:w="534" w:type="dxa"/>
            <w:shd w:val="clear" w:color="auto" w:fill="auto"/>
          </w:tcPr>
          <w:p w14:paraId="22ED065B" w14:textId="77777777" w:rsidR="008E23BE" w:rsidRPr="00F4103E" w:rsidRDefault="008E23BE" w:rsidP="00D67159">
            <w:pPr>
              <w:spacing w:before="40" w:after="40" w:line="240" w:lineRule="atLeast"/>
              <w:jc w:val="both"/>
              <w:rPr>
                <w:rFonts w:ascii="Calibri" w:hAnsi="Calibri" w:cs="Calibri"/>
                <w:b/>
                <w:color w:val="4F81BD"/>
                <w:sz w:val="24"/>
                <w:szCs w:val="24"/>
              </w:rPr>
            </w:pPr>
            <w:r>
              <w:rPr>
                <w:rFonts w:ascii="Calibri" w:hAnsi="Calibri" w:cs="Calibri"/>
                <w:b/>
                <w:color w:val="4F81BD"/>
                <w:sz w:val="24"/>
                <w:szCs w:val="24"/>
              </w:rPr>
              <w:t xml:space="preserve"> </w:t>
            </w:r>
          </w:p>
        </w:tc>
        <w:tc>
          <w:tcPr>
            <w:tcW w:w="9355" w:type="dxa"/>
            <w:gridSpan w:val="3"/>
            <w:shd w:val="clear" w:color="auto" w:fill="auto"/>
          </w:tcPr>
          <w:p w14:paraId="20B02C8C" w14:textId="6CA8B9F3" w:rsidR="008E23BE" w:rsidRPr="001E2870" w:rsidRDefault="008E23BE" w:rsidP="00041B13">
            <w:pPr>
              <w:spacing w:before="40" w:after="40" w:line="240" w:lineRule="atLeast"/>
              <w:jc w:val="both"/>
              <w:rPr>
                <w:rFonts w:ascii="Calibri" w:hAnsi="Calibri" w:cs="Calibri"/>
                <w:color w:val="000000" w:themeColor="text1"/>
                <w:sz w:val="24"/>
                <w:szCs w:val="24"/>
              </w:rPr>
            </w:pPr>
            <w:r w:rsidRPr="005E31CB">
              <w:rPr>
                <w:rFonts w:ascii="Calibri" w:hAnsi="Calibri" w:cs="Calibri"/>
                <w:color w:val="000000" w:themeColor="text1"/>
                <w:sz w:val="24"/>
                <w:szCs w:val="24"/>
              </w:rPr>
              <w:t xml:space="preserve">ARB’s </w:t>
            </w:r>
            <w:r>
              <w:rPr>
                <w:rFonts w:ascii="Calibri" w:hAnsi="Calibri" w:cs="Calibri"/>
                <w:color w:val="000000" w:themeColor="text1"/>
                <w:sz w:val="24"/>
                <w:szCs w:val="24"/>
              </w:rPr>
              <w:t>CEO’s Report</w:t>
            </w:r>
            <w:r w:rsidRPr="005E31CB">
              <w:rPr>
                <w:rFonts w:ascii="Calibri" w:hAnsi="Calibri" w:cs="Calibri"/>
                <w:color w:val="000000" w:themeColor="text1"/>
                <w:sz w:val="24"/>
                <w:szCs w:val="24"/>
              </w:rPr>
              <w:t xml:space="preserve"> provides the Board with an update on business activities, progress against the Business Plan, as well as highlighting any emerging risks which may impact on delivery.</w:t>
            </w:r>
          </w:p>
          <w:p w14:paraId="66929A40" w14:textId="77777777" w:rsidR="008E23BE" w:rsidRDefault="008E23BE" w:rsidP="0035266B">
            <w:pPr>
              <w:spacing w:before="40" w:after="40" w:line="240" w:lineRule="atLeast"/>
              <w:jc w:val="both"/>
              <w:rPr>
                <w:rFonts w:ascii="Calibri" w:hAnsi="Calibri" w:cs="Calibri"/>
                <w:color w:val="000000" w:themeColor="text1"/>
                <w:sz w:val="24"/>
                <w:szCs w:val="24"/>
              </w:rPr>
            </w:pPr>
            <w:r w:rsidRPr="005E31CB">
              <w:rPr>
                <w:rFonts w:ascii="Calibri" w:hAnsi="Calibri" w:cs="Calibri"/>
                <w:color w:val="000000" w:themeColor="text1"/>
                <w:sz w:val="24"/>
                <w:szCs w:val="24"/>
              </w:rPr>
              <w:t xml:space="preserve">Further detail of specific risks to the organisation and in relation to operations will be provided in the confidential </w:t>
            </w:r>
            <w:r>
              <w:rPr>
                <w:rFonts w:ascii="Calibri" w:hAnsi="Calibri" w:cs="Calibri"/>
                <w:color w:val="000000" w:themeColor="text1"/>
                <w:sz w:val="24"/>
                <w:szCs w:val="24"/>
              </w:rPr>
              <w:t>CEO’s</w:t>
            </w:r>
            <w:r w:rsidRPr="005E31CB">
              <w:rPr>
                <w:rFonts w:ascii="Calibri" w:hAnsi="Calibri" w:cs="Calibri"/>
                <w:color w:val="000000" w:themeColor="text1"/>
                <w:sz w:val="24"/>
                <w:szCs w:val="24"/>
              </w:rPr>
              <w:t xml:space="preserve"> report.</w:t>
            </w:r>
          </w:p>
          <w:p w14:paraId="2730272B" w14:textId="77777777" w:rsidR="001E2870" w:rsidRDefault="001E2870" w:rsidP="0035266B">
            <w:pPr>
              <w:spacing w:before="40" w:after="40" w:line="240" w:lineRule="atLeast"/>
              <w:jc w:val="both"/>
              <w:rPr>
                <w:rFonts w:ascii="Calibri" w:hAnsi="Calibri" w:cs="Calibri"/>
                <w:color w:val="000000" w:themeColor="text1"/>
                <w:sz w:val="24"/>
                <w:szCs w:val="24"/>
              </w:rPr>
            </w:pPr>
          </w:p>
          <w:p w14:paraId="3624BDD6" w14:textId="77777777" w:rsidR="006326CB" w:rsidRDefault="006326CB" w:rsidP="0035266B">
            <w:pPr>
              <w:spacing w:before="40" w:after="40" w:line="240" w:lineRule="atLeast"/>
              <w:jc w:val="both"/>
              <w:rPr>
                <w:rFonts w:ascii="Calibri" w:hAnsi="Calibri" w:cs="Calibri"/>
                <w:color w:val="000000" w:themeColor="text1"/>
                <w:sz w:val="24"/>
                <w:szCs w:val="24"/>
              </w:rPr>
            </w:pPr>
          </w:p>
          <w:p w14:paraId="4AA0EAD6" w14:textId="77777777" w:rsidR="006326CB" w:rsidRDefault="006326CB" w:rsidP="0035266B">
            <w:pPr>
              <w:spacing w:before="40" w:after="40" w:line="240" w:lineRule="atLeast"/>
              <w:jc w:val="both"/>
              <w:rPr>
                <w:rFonts w:ascii="Calibri" w:hAnsi="Calibri" w:cs="Calibri"/>
                <w:color w:val="000000" w:themeColor="text1"/>
                <w:sz w:val="24"/>
                <w:szCs w:val="24"/>
              </w:rPr>
            </w:pPr>
          </w:p>
          <w:p w14:paraId="3ECE0990" w14:textId="3A9393FC" w:rsidR="006326CB" w:rsidRPr="001E2870" w:rsidRDefault="006326CB" w:rsidP="0035266B">
            <w:pPr>
              <w:spacing w:before="40" w:after="40" w:line="240" w:lineRule="atLeast"/>
              <w:jc w:val="both"/>
              <w:rPr>
                <w:rFonts w:ascii="Calibri" w:hAnsi="Calibri" w:cs="Calibri"/>
                <w:color w:val="000000" w:themeColor="text1"/>
                <w:sz w:val="24"/>
                <w:szCs w:val="24"/>
              </w:rPr>
            </w:pPr>
          </w:p>
        </w:tc>
      </w:tr>
      <w:tr w:rsidR="008E23BE" w:rsidRPr="000273C9" w14:paraId="13A9F5E8" w14:textId="77777777" w:rsidTr="00517F06">
        <w:tc>
          <w:tcPr>
            <w:tcW w:w="534" w:type="dxa"/>
            <w:vMerge w:val="restart"/>
            <w:shd w:val="clear" w:color="auto" w:fill="auto"/>
          </w:tcPr>
          <w:p w14:paraId="340E0AF7" w14:textId="109FF0B6" w:rsidR="008E23BE" w:rsidRPr="00F4103E" w:rsidRDefault="001E2870" w:rsidP="00A34404">
            <w:pPr>
              <w:spacing w:before="40" w:after="40" w:line="240" w:lineRule="atLeast"/>
              <w:jc w:val="both"/>
              <w:rPr>
                <w:rFonts w:ascii="Calibri" w:hAnsi="Calibri" w:cs="Calibri"/>
                <w:b/>
                <w:color w:val="4F81BD"/>
                <w:sz w:val="24"/>
                <w:szCs w:val="24"/>
              </w:rPr>
            </w:pPr>
            <w:r>
              <w:rPr>
                <w:rFonts w:ascii="Calibri" w:hAnsi="Calibri" w:cs="Calibri"/>
                <w:b/>
                <w:color w:val="4F81BD"/>
                <w:sz w:val="24"/>
                <w:szCs w:val="24"/>
              </w:rPr>
              <w:t>8</w:t>
            </w:r>
            <w:r w:rsidR="008E23BE">
              <w:rPr>
                <w:rFonts w:ascii="Calibri" w:hAnsi="Calibri" w:cs="Calibri"/>
                <w:b/>
                <w:color w:val="4F81BD"/>
                <w:sz w:val="24"/>
                <w:szCs w:val="24"/>
              </w:rPr>
              <w:t>.</w:t>
            </w:r>
          </w:p>
        </w:tc>
        <w:tc>
          <w:tcPr>
            <w:tcW w:w="9355" w:type="dxa"/>
            <w:gridSpan w:val="3"/>
            <w:shd w:val="clear" w:color="auto" w:fill="auto"/>
          </w:tcPr>
          <w:p w14:paraId="19C77396" w14:textId="4F9B66FC" w:rsidR="008E23BE" w:rsidRPr="00F240F8" w:rsidRDefault="008E23BE" w:rsidP="001016AC">
            <w:pPr>
              <w:spacing w:before="40" w:after="40" w:line="240" w:lineRule="atLeast"/>
              <w:jc w:val="both"/>
              <w:rPr>
                <w:rFonts w:ascii="Calibri" w:hAnsi="Calibri" w:cs="Calibri"/>
                <w:b/>
                <w:color w:val="4F81BD"/>
                <w:sz w:val="24"/>
                <w:szCs w:val="24"/>
              </w:rPr>
            </w:pPr>
            <w:r w:rsidRPr="00F240F8">
              <w:rPr>
                <w:rFonts w:ascii="Calibri" w:hAnsi="Calibri" w:cs="Calibri"/>
                <w:b/>
                <w:color w:val="4F81BD"/>
                <w:sz w:val="24"/>
                <w:szCs w:val="24"/>
              </w:rPr>
              <w:t>Communication</w:t>
            </w:r>
          </w:p>
        </w:tc>
      </w:tr>
      <w:tr w:rsidR="008E23BE" w:rsidRPr="000273C9" w14:paraId="3D810937" w14:textId="77777777" w:rsidTr="00517F06">
        <w:tc>
          <w:tcPr>
            <w:tcW w:w="534" w:type="dxa"/>
            <w:vMerge/>
            <w:shd w:val="clear" w:color="auto" w:fill="auto"/>
          </w:tcPr>
          <w:p w14:paraId="7A4B8E25" w14:textId="77777777" w:rsidR="008E23BE" w:rsidRPr="000273C9" w:rsidRDefault="008E23BE" w:rsidP="001016AC">
            <w:pPr>
              <w:spacing w:before="40" w:after="40" w:line="240" w:lineRule="atLeast"/>
              <w:jc w:val="both"/>
              <w:rPr>
                <w:rFonts w:ascii="Helvetica 65 Medium" w:hAnsi="Helvetica 65 Medium"/>
                <w:sz w:val="24"/>
                <w:szCs w:val="24"/>
              </w:rPr>
            </w:pPr>
          </w:p>
        </w:tc>
        <w:tc>
          <w:tcPr>
            <w:tcW w:w="9355" w:type="dxa"/>
            <w:gridSpan w:val="3"/>
            <w:shd w:val="clear" w:color="auto" w:fill="auto"/>
          </w:tcPr>
          <w:p w14:paraId="359A0901" w14:textId="14609AC7" w:rsidR="00517F06" w:rsidRPr="00FF7C13" w:rsidRDefault="00FF7C13" w:rsidP="00FF7C13">
            <w:pPr>
              <w:spacing w:before="40" w:after="40" w:line="240" w:lineRule="atLeast"/>
              <w:jc w:val="both"/>
              <w:rPr>
                <w:rFonts w:ascii="Calibri" w:hAnsi="Calibri" w:cs="Calibri"/>
                <w:color w:val="000000" w:themeColor="text1"/>
                <w:sz w:val="24"/>
                <w:szCs w:val="24"/>
              </w:rPr>
            </w:pPr>
            <w:r w:rsidRPr="00FF7C13">
              <w:rPr>
                <w:rFonts w:ascii="Calibri" w:hAnsi="Calibri" w:cs="Calibri"/>
                <w:color w:val="000000" w:themeColor="text1"/>
                <w:sz w:val="24"/>
                <w:szCs w:val="24"/>
              </w:rPr>
              <w:t>There are not specific communications implications arising from this paper.</w:t>
            </w:r>
          </w:p>
          <w:p w14:paraId="7182AF03" w14:textId="77777777" w:rsidR="008E23BE" w:rsidRPr="00FF7C13" w:rsidRDefault="008E23BE" w:rsidP="00FF7C13">
            <w:pPr>
              <w:spacing w:before="40" w:after="40" w:line="240" w:lineRule="atLeast"/>
              <w:jc w:val="both"/>
              <w:rPr>
                <w:rFonts w:ascii="Calibri" w:hAnsi="Calibri" w:cs="Calibri"/>
                <w:color w:val="000000" w:themeColor="text1"/>
                <w:sz w:val="24"/>
                <w:szCs w:val="24"/>
              </w:rPr>
            </w:pPr>
          </w:p>
        </w:tc>
      </w:tr>
      <w:tr w:rsidR="008E23BE" w:rsidRPr="000273C9" w14:paraId="4E1DA082" w14:textId="77777777" w:rsidTr="00517F06">
        <w:trPr>
          <w:trHeight w:val="926"/>
        </w:trPr>
        <w:tc>
          <w:tcPr>
            <w:tcW w:w="534" w:type="dxa"/>
            <w:shd w:val="clear" w:color="auto" w:fill="auto"/>
          </w:tcPr>
          <w:p w14:paraId="1A4B57E0" w14:textId="4182CA57" w:rsidR="008E23BE" w:rsidRPr="001016AC" w:rsidRDefault="001E2870" w:rsidP="001E341B">
            <w:pPr>
              <w:spacing w:before="40" w:after="40" w:line="240" w:lineRule="atLeast"/>
              <w:rPr>
                <w:rFonts w:ascii="Calibri" w:hAnsi="Calibri" w:cs="Calibri"/>
                <w:b/>
                <w:color w:val="4F81BD"/>
                <w:sz w:val="24"/>
                <w:szCs w:val="24"/>
              </w:rPr>
            </w:pPr>
            <w:r>
              <w:rPr>
                <w:rFonts w:ascii="Calibri" w:hAnsi="Calibri" w:cs="Calibri"/>
                <w:b/>
                <w:color w:val="4F81BD"/>
                <w:sz w:val="24"/>
                <w:szCs w:val="24"/>
              </w:rPr>
              <w:t>9</w:t>
            </w:r>
            <w:r w:rsidR="008E23BE" w:rsidRPr="001016AC">
              <w:rPr>
                <w:rFonts w:ascii="Calibri" w:hAnsi="Calibri" w:cs="Calibri"/>
                <w:b/>
                <w:color w:val="4F81BD"/>
                <w:sz w:val="24"/>
                <w:szCs w:val="24"/>
              </w:rPr>
              <w:t>.</w:t>
            </w:r>
          </w:p>
          <w:p w14:paraId="3906B25B" w14:textId="77777777" w:rsidR="008E23BE" w:rsidRDefault="008E23BE" w:rsidP="001E341B">
            <w:pPr>
              <w:spacing w:before="40" w:after="40" w:line="240" w:lineRule="atLeast"/>
              <w:rPr>
                <w:rFonts w:ascii="Calibri" w:hAnsi="Calibri" w:cs="Calibri"/>
                <w:b/>
                <w:color w:val="4F81BD"/>
                <w:sz w:val="24"/>
                <w:szCs w:val="24"/>
              </w:rPr>
            </w:pPr>
          </w:p>
          <w:p w14:paraId="4E5A2E8F" w14:textId="0809128D" w:rsidR="008E23BE" w:rsidRPr="00F4103E" w:rsidRDefault="008E23BE" w:rsidP="00A34404">
            <w:pPr>
              <w:spacing w:before="40" w:after="40" w:line="240" w:lineRule="atLeast"/>
              <w:rPr>
                <w:rFonts w:ascii="Calibri" w:hAnsi="Calibri" w:cs="Calibri"/>
                <w:b/>
                <w:color w:val="4F81BD"/>
                <w:sz w:val="24"/>
                <w:szCs w:val="24"/>
              </w:rPr>
            </w:pPr>
          </w:p>
        </w:tc>
        <w:tc>
          <w:tcPr>
            <w:tcW w:w="9355" w:type="dxa"/>
            <w:gridSpan w:val="3"/>
            <w:shd w:val="clear" w:color="auto" w:fill="auto"/>
          </w:tcPr>
          <w:p w14:paraId="74B903B4" w14:textId="77777777" w:rsidR="008E23BE" w:rsidRPr="008220F4" w:rsidRDefault="008E23BE" w:rsidP="001016AC">
            <w:pPr>
              <w:spacing w:before="40" w:after="40" w:line="240" w:lineRule="atLeast"/>
              <w:jc w:val="both"/>
              <w:rPr>
                <w:rFonts w:ascii="Calibri" w:hAnsi="Calibri" w:cs="Calibri"/>
                <w:b/>
                <w:color w:val="4F81BD"/>
                <w:sz w:val="24"/>
                <w:szCs w:val="24"/>
              </w:rPr>
            </w:pPr>
            <w:r w:rsidRPr="008220F4">
              <w:rPr>
                <w:rFonts w:ascii="Calibri" w:hAnsi="Calibri" w:cs="Calibri"/>
                <w:b/>
                <w:color w:val="4F81BD"/>
                <w:sz w:val="24"/>
                <w:szCs w:val="24"/>
              </w:rPr>
              <w:t xml:space="preserve">Equality and Diversity Implications </w:t>
            </w:r>
          </w:p>
          <w:p w14:paraId="7A3BF6A3" w14:textId="768F91D4" w:rsidR="008E23BE" w:rsidRDefault="008E23BE" w:rsidP="005129CB">
            <w:pPr>
              <w:spacing w:before="40" w:after="40" w:line="240" w:lineRule="atLeast"/>
              <w:jc w:val="both"/>
              <w:rPr>
                <w:rFonts w:ascii="Calibri" w:hAnsi="Calibri" w:cs="Calibri"/>
                <w:sz w:val="24"/>
                <w:szCs w:val="24"/>
              </w:rPr>
            </w:pPr>
            <w:r>
              <w:rPr>
                <w:rFonts w:ascii="Calibri" w:hAnsi="Calibri" w:cs="Calibri"/>
                <w:sz w:val="24"/>
                <w:szCs w:val="24"/>
              </w:rPr>
              <w:t xml:space="preserve">None directly emerging </w:t>
            </w:r>
            <w:proofErr w:type="gramStart"/>
            <w:r>
              <w:rPr>
                <w:rFonts w:ascii="Calibri" w:hAnsi="Calibri" w:cs="Calibri"/>
                <w:sz w:val="24"/>
                <w:szCs w:val="24"/>
              </w:rPr>
              <w:t>as a result of</w:t>
            </w:r>
            <w:proofErr w:type="gramEnd"/>
            <w:r>
              <w:rPr>
                <w:rFonts w:ascii="Calibri" w:hAnsi="Calibri" w:cs="Calibri"/>
                <w:sz w:val="24"/>
                <w:szCs w:val="24"/>
              </w:rPr>
              <w:t xml:space="preserve"> updates in this paper.</w:t>
            </w:r>
          </w:p>
          <w:p w14:paraId="61E29FE9" w14:textId="63CE3E61" w:rsidR="008E23BE" w:rsidRPr="008220F4" w:rsidRDefault="008E23BE" w:rsidP="005129CB">
            <w:pPr>
              <w:spacing w:before="40" w:after="40" w:line="240" w:lineRule="atLeast"/>
              <w:jc w:val="both"/>
              <w:rPr>
                <w:rFonts w:ascii="Calibri" w:hAnsi="Calibri" w:cs="Calibri"/>
                <w:sz w:val="24"/>
                <w:szCs w:val="24"/>
              </w:rPr>
            </w:pPr>
          </w:p>
        </w:tc>
      </w:tr>
      <w:tr w:rsidR="008E23BE" w:rsidRPr="000273C9" w14:paraId="375E64BF" w14:textId="77777777" w:rsidTr="001E341B">
        <w:tc>
          <w:tcPr>
            <w:tcW w:w="534" w:type="dxa"/>
            <w:shd w:val="clear" w:color="auto" w:fill="auto"/>
            <w:vAlign w:val="center"/>
          </w:tcPr>
          <w:p w14:paraId="61A38686" w14:textId="7D4F7782" w:rsidR="008E23BE" w:rsidRPr="000273C9" w:rsidRDefault="008E23BE" w:rsidP="001016AC">
            <w:pPr>
              <w:spacing w:before="40" w:after="40" w:line="240" w:lineRule="atLeast"/>
              <w:jc w:val="both"/>
              <w:rPr>
                <w:rFonts w:ascii="Helvetica 65 Medium" w:hAnsi="Helvetica 65 Medium"/>
                <w:sz w:val="24"/>
                <w:szCs w:val="24"/>
              </w:rPr>
            </w:pPr>
            <w:r>
              <w:rPr>
                <w:rFonts w:ascii="Calibri" w:hAnsi="Calibri" w:cs="Calibri"/>
                <w:b/>
                <w:color w:val="4F81BD"/>
                <w:sz w:val="24"/>
                <w:szCs w:val="24"/>
              </w:rPr>
              <w:t>1</w:t>
            </w:r>
            <w:r w:rsidR="001E2870">
              <w:rPr>
                <w:rFonts w:ascii="Calibri" w:hAnsi="Calibri" w:cs="Calibri"/>
                <w:b/>
                <w:color w:val="4F81BD"/>
                <w:sz w:val="24"/>
                <w:szCs w:val="24"/>
              </w:rPr>
              <w:t>0</w:t>
            </w:r>
            <w:r>
              <w:rPr>
                <w:rFonts w:ascii="Calibri" w:hAnsi="Calibri" w:cs="Calibri"/>
                <w:b/>
                <w:color w:val="4F81BD"/>
                <w:sz w:val="24"/>
                <w:szCs w:val="24"/>
              </w:rPr>
              <w:t>.</w:t>
            </w:r>
          </w:p>
        </w:tc>
        <w:tc>
          <w:tcPr>
            <w:tcW w:w="9355" w:type="dxa"/>
            <w:gridSpan w:val="3"/>
            <w:shd w:val="clear" w:color="auto" w:fill="auto"/>
          </w:tcPr>
          <w:p w14:paraId="596CA0B7" w14:textId="77777777" w:rsidR="008E23BE" w:rsidRPr="000273C9" w:rsidRDefault="008E23BE" w:rsidP="001E341B">
            <w:pPr>
              <w:spacing w:before="40" w:after="40" w:line="240" w:lineRule="atLeast"/>
              <w:rPr>
                <w:rFonts w:ascii="Calibri" w:hAnsi="Calibri" w:cs="Calibri"/>
                <w:sz w:val="24"/>
                <w:szCs w:val="24"/>
              </w:rPr>
            </w:pPr>
            <w:r w:rsidRPr="001016AC">
              <w:rPr>
                <w:rFonts w:ascii="Calibri" w:hAnsi="Calibri" w:cs="Calibri"/>
                <w:b/>
                <w:color w:val="4F81BD"/>
                <w:sz w:val="24"/>
                <w:szCs w:val="24"/>
              </w:rPr>
              <w:t>Further Actions</w:t>
            </w:r>
          </w:p>
        </w:tc>
      </w:tr>
      <w:tr w:rsidR="008E23BE" w:rsidRPr="000273C9" w14:paraId="1348B6F2" w14:textId="77777777" w:rsidTr="001E341B">
        <w:tc>
          <w:tcPr>
            <w:tcW w:w="534" w:type="dxa"/>
            <w:shd w:val="clear" w:color="auto" w:fill="auto"/>
          </w:tcPr>
          <w:p w14:paraId="3B4BCC2D" w14:textId="77777777" w:rsidR="008E23BE" w:rsidRPr="005E31CB" w:rsidRDefault="008E23BE" w:rsidP="001016AC">
            <w:pPr>
              <w:spacing w:before="40" w:after="40" w:line="240" w:lineRule="atLeast"/>
              <w:jc w:val="both"/>
              <w:rPr>
                <w:rFonts w:ascii="Calibri" w:hAnsi="Calibri" w:cs="Calibri"/>
                <w:color w:val="FF0000"/>
                <w:sz w:val="24"/>
                <w:szCs w:val="24"/>
              </w:rPr>
            </w:pPr>
          </w:p>
        </w:tc>
        <w:tc>
          <w:tcPr>
            <w:tcW w:w="9355" w:type="dxa"/>
            <w:gridSpan w:val="3"/>
            <w:shd w:val="clear" w:color="auto" w:fill="auto"/>
          </w:tcPr>
          <w:p w14:paraId="65E4BD8D" w14:textId="77777777" w:rsidR="008E23BE" w:rsidRPr="005E31CB" w:rsidRDefault="008E23BE" w:rsidP="00A72059">
            <w:pPr>
              <w:spacing w:before="40" w:after="40" w:line="240" w:lineRule="atLeast"/>
              <w:jc w:val="both"/>
              <w:rPr>
                <w:rFonts w:ascii="Calibri" w:hAnsi="Calibri" w:cs="Calibri"/>
                <w:color w:val="FF0000"/>
                <w:sz w:val="24"/>
                <w:szCs w:val="24"/>
              </w:rPr>
            </w:pPr>
            <w:r w:rsidRPr="001E341B">
              <w:rPr>
                <w:rFonts w:ascii="Calibri" w:hAnsi="Calibri"/>
                <w:color w:val="000000" w:themeColor="text1"/>
                <w:sz w:val="24"/>
                <w:szCs w:val="24"/>
              </w:rPr>
              <w:t>These are referred to within the key points set out above.</w:t>
            </w:r>
          </w:p>
        </w:tc>
      </w:tr>
      <w:tr w:rsidR="008E23BE" w:rsidRPr="000273C9" w14:paraId="2F13E303" w14:textId="77777777" w:rsidTr="00831A07">
        <w:trPr>
          <w:gridAfter w:val="1"/>
          <w:wAfter w:w="35" w:type="dxa"/>
        </w:trPr>
        <w:tc>
          <w:tcPr>
            <w:tcW w:w="534" w:type="dxa"/>
            <w:shd w:val="clear" w:color="auto" w:fill="auto"/>
            <w:vAlign w:val="center"/>
          </w:tcPr>
          <w:p w14:paraId="679F2AE4" w14:textId="77777777" w:rsidR="008E23BE" w:rsidRPr="001016AC" w:rsidRDefault="008E23BE" w:rsidP="00A01788">
            <w:pPr>
              <w:jc w:val="both"/>
              <w:rPr>
                <w:rFonts w:ascii="Calibri" w:hAnsi="Calibri" w:cs="Calibri"/>
                <w:b/>
                <w:color w:val="4F81BD"/>
                <w:sz w:val="24"/>
                <w:szCs w:val="24"/>
              </w:rPr>
            </w:pPr>
          </w:p>
        </w:tc>
        <w:tc>
          <w:tcPr>
            <w:tcW w:w="9320" w:type="dxa"/>
            <w:gridSpan w:val="2"/>
            <w:shd w:val="clear" w:color="auto" w:fill="auto"/>
            <w:vAlign w:val="center"/>
          </w:tcPr>
          <w:p w14:paraId="603D69E2" w14:textId="77777777" w:rsidR="008E23BE" w:rsidRPr="001016AC" w:rsidRDefault="008E23BE" w:rsidP="001016AC">
            <w:pPr>
              <w:jc w:val="both"/>
              <w:rPr>
                <w:rFonts w:ascii="Calibri" w:hAnsi="Calibri" w:cs="Calibri"/>
                <w:b/>
                <w:color w:val="4F81BD"/>
                <w:sz w:val="24"/>
                <w:szCs w:val="24"/>
              </w:rPr>
            </w:pPr>
          </w:p>
        </w:tc>
      </w:tr>
    </w:tbl>
    <w:p w14:paraId="54F4CB57" w14:textId="77777777" w:rsidR="004E0B16" w:rsidRDefault="004E0B16" w:rsidP="001016AC">
      <w:pPr>
        <w:spacing w:before="40" w:after="40" w:line="240" w:lineRule="atLeast"/>
        <w:jc w:val="both"/>
        <w:rPr>
          <w:rFonts w:ascii="Helvetica 65 Medium" w:hAnsi="Helvetica 65 Medium"/>
          <w:sz w:val="24"/>
          <w:szCs w:val="24"/>
        </w:rPr>
      </w:pPr>
    </w:p>
    <w:sectPr w:rsidR="004E0B16" w:rsidSect="00653153">
      <w:headerReference w:type="default" r:id="rId25"/>
      <w:footerReference w:type="default" r:id="rId26"/>
      <w:footerReference w:type="first" r:id="rId27"/>
      <w:pgSz w:w="11906" w:h="16838" w:code="9"/>
      <w:pgMar w:top="567" w:right="1134" w:bottom="1134" w:left="1134" w:header="720" w:footer="28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4EFF" w14:textId="77777777" w:rsidR="00810704" w:rsidRDefault="00810704">
      <w:r>
        <w:separator/>
      </w:r>
    </w:p>
  </w:endnote>
  <w:endnote w:type="continuationSeparator" w:id="0">
    <w:p w14:paraId="768644D8" w14:textId="77777777" w:rsidR="00810704" w:rsidRDefault="00810704">
      <w:r>
        <w:continuationSeparator/>
      </w:r>
    </w:p>
  </w:endnote>
  <w:endnote w:type="continuationNotice" w:id="1">
    <w:p w14:paraId="094B163D" w14:textId="77777777" w:rsidR="00810704" w:rsidRDefault="00810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65 Medium">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9CFF" w14:textId="77777777" w:rsidR="00810704" w:rsidRPr="00062314" w:rsidRDefault="00810704" w:rsidP="00481D39">
    <w:pPr>
      <w:pStyle w:val="Footer"/>
      <w:rPr>
        <w:rFonts w:ascii="Calibri" w:hAnsi="Calibri" w:cs="Calibri"/>
        <w:sz w:val="16"/>
        <w:szCs w:val="16"/>
      </w:rPr>
    </w:pPr>
    <w:r>
      <w:rPr>
        <w:rFonts w:ascii="Calibri" w:hAnsi="Calibri" w:cs="Calibri"/>
        <w:sz w:val="16"/>
        <w:szCs w:val="16"/>
      </w:rPr>
      <w:t>Board M</w:t>
    </w:r>
    <w:r w:rsidRPr="00062314">
      <w:rPr>
        <w:rFonts w:ascii="Calibri" w:hAnsi="Calibri" w:cs="Calibri"/>
        <w:sz w:val="16"/>
        <w:szCs w:val="16"/>
      </w:rPr>
      <w:t>eeting</w:t>
    </w:r>
  </w:p>
  <w:p w14:paraId="7D8CA791" w14:textId="641B4B64" w:rsidR="00810704" w:rsidRPr="00062314" w:rsidRDefault="0098067A" w:rsidP="00481D39">
    <w:pPr>
      <w:pStyle w:val="Footer"/>
      <w:tabs>
        <w:tab w:val="clear" w:pos="4320"/>
        <w:tab w:val="clear" w:pos="8640"/>
        <w:tab w:val="left" w:pos="1202"/>
      </w:tabs>
      <w:rPr>
        <w:rFonts w:ascii="Calibri" w:hAnsi="Calibri" w:cs="Calibri"/>
        <w:sz w:val="16"/>
        <w:szCs w:val="16"/>
      </w:rPr>
    </w:pPr>
    <w:r>
      <w:rPr>
        <w:rFonts w:ascii="Calibri" w:hAnsi="Calibri" w:cs="Calibri"/>
        <w:sz w:val="16"/>
        <w:szCs w:val="16"/>
      </w:rPr>
      <w:t>21 July</w:t>
    </w:r>
    <w:r w:rsidR="0063477D">
      <w:rPr>
        <w:rFonts w:ascii="Calibri" w:hAnsi="Calibri" w:cs="Calibri"/>
        <w:sz w:val="16"/>
        <w:szCs w:val="16"/>
      </w:rPr>
      <w:t xml:space="preserve"> 2021</w:t>
    </w:r>
  </w:p>
  <w:p w14:paraId="18056A14" w14:textId="77777777" w:rsidR="00810704" w:rsidRPr="00062314" w:rsidRDefault="00810704" w:rsidP="00481D39">
    <w:pPr>
      <w:pStyle w:val="Footer"/>
      <w:rPr>
        <w:rFonts w:ascii="Calibri" w:hAnsi="Calibri" w:cs="Calibri"/>
        <w:sz w:val="16"/>
        <w:szCs w:val="16"/>
      </w:rPr>
    </w:pPr>
    <w:r>
      <w:rPr>
        <w:rFonts w:ascii="Calibri" w:hAnsi="Calibri" w:cs="Calibri"/>
        <w:sz w:val="16"/>
        <w:szCs w:val="16"/>
      </w:rPr>
      <w:t>Open</w:t>
    </w:r>
    <w:r w:rsidRPr="00062314">
      <w:rPr>
        <w:rFonts w:ascii="Calibri" w:hAnsi="Calibri" w:cs="Calibri"/>
        <w:sz w:val="16"/>
        <w:szCs w:val="16"/>
      </w:rPr>
      <w:t xml:space="preserve"> Session </w:t>
    </w:r>
  </w:p>
  <w:p w14:paraId="7262CBEF" w14:textId="77777777" w:rsidR="00810704" w:rsidRDefault="008107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499F" w14:textId="77777777" w:rsidR="00DA1A7C" w:rsidRDefault="00810704" w:rsidP="00CC053E">
    <w:pPr>
      <w:pStyle w:val="Footer"/>
      <w:rPr>
        <w:rFonts w:ascii="Calibri" w:hAnsi="Calibri" w:cs="Calibri"/>
        <w:sz w:val="16"/>
        <w:szCs w:val="16"/>
      </w:rPr>
    </w:pPr>
    <w:r>
      <w:rPr>
        <w:rFonts w:ascii="Calibri" w:hAnsi="Calibri" w:cs="Calibri"/>
        <w:sz w:val="16"/>
        <w:szCs w:val="16"/>
      </w:rPr>
      <w:t>Board M</w:t>
    </w:r>
    <w:r w:rsidRPr="00062314">
      <w:rPr>
        <w:rFonts w:ascii="Calibri" w:hAnsi="Calibri" w:cs="Calibri"/>
        <w:sz w:val="16"/>
        <w:szCs w:val="16"/>
      </w:rPr>
      <w:t>eeting</w:t>
    </w:r>
    <w:r w:rsidR="00C32052">
      <w:rPr>
        <w:rFonts w:ascii="Calibri" w:hAnsi="Calibri" w:cs="Calibri"/>
        <w:sz w:val="16"/>
        <w:szCs w:val="16"/>
      </w:rPr>
      <w:t xml:space="preserve"> </w:t>
    </w:r>
  </w:p>
  <w:p w14:paraId="6F966A68" w14:textId="5D5E6491" w:rsidR="00810704" w:rsidRPr="00062314" w:rsidRDefault="0098067A" w:rsidP="00CC053E">
    <w:pPr>
      <w:pStyle w:val="Footer"/>
      <w:rPr>
        <w:rFonts w:ascii="Calibri" w:hAnsi="Calibri" w:cs="Calibri"/>
        <w:sz w:val="16"/>
        <w:szCs w:val="16"/>
      </w:rPr>
    </w:pPr>
    <w:r>
      <w:rPr>
        <w:rFonts w:ascii="Calibri" w:hAnsi="Calibri" w:cs="Calibri"/>
        <w:sz w:val="16"/>
        <w:szCs w:val="16"/>
      </w:rPr>
      <w:t>21 July</w:t>
    </w:r>
    <w:r w:rsidR="00E426C2">
      <w:rPr>
        <w:rFonts w:ascii="Calibri" w:hAnsi="Calibri" w:cs="Calibri"/>
        <w:sz w:val="16"/>
        <w:szCs w:val="16"/>
      </w:rPr>
      <w:t xml:space="preserve"> 2021</w:t>
    </w:r>
  </w:p>
  <w:p w14:paraId="71C053B5" w14:textId="77777777" w:rsidR="00810704" w:rsidRPr="00062314" w:rsidRDefault="00810704" w:rsidP="00CC053E">
    <w:pPr>
      <w:pStyle w:val="Footer"/>
      <w:rPr>
        <w:rFonts w:ascii="Calibri" w:hAnsi="Calibri" w:cs="Calibri"/>
        <w:sz w:val="16"/>
        <w:szCs w:val="16"/>
      </w:rPr>
    </w:pPr>
    <w:r>
      <w:rPr>
        <w:rFonts w:ascii="Calibri" w:hAnsi="Calibri" w:cs="Calibri"/>
        <w:sz w:val="16"/>
        <w:szCs w:val="16"/>
      </w:rPr>
      <w:t>Open</w:t>
    </w:r>
    <w:r w:rsidRPr="00062314">
      <w:rPr>
        <w:rFonts w:ascii="Calibri" w:hAnsi="Calibri" w:cs="Calibri"/>
        <w:sz w:val="16"/>
        <w:szCs w:val="16"/>
      </w:rPr>
      <w:t xml:space="preserve"> Session </w:t>
    </w:r>
  </w:p>
  <w:p w14:paraId="7A5842C2" w14:textId="77777777" w:rsidR="00810704" w:rsidRDefault="00810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A4DF" w14:textId="77777777" w:rsidR="00810704" w:rsidRDefault="00810704">
      <w:r>
        <w:separator/>
      </w:r>
    </w:p>
  </w:footnote>
  <w:footnote w:type="continuationSeparator" w:id="0">
    <w:p w14:paraId="157CAC2A" w14:textId="77777777" w:rsidR="00810704" w:rsidRDefault="00810704">
      <w:r>
        <w:continuationSeparator/>
      </w:r>
    </w:p>
  </w:footnote>
  <w:footnote w:type="continuationNotice" w:id="1">
    <w:p w14:paraId="320B9BA4" w14:textId="77777777" w:rsidR="00810704" w:rsidRDefault="008107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78FF" w14:textId="4F479609" w:rsidR="00810704" w:rsidRDefault="00810704" w:rsidP="005D5486">
    <w:pPr>
      <w:tabs>
        <w:tab w:val="left" w:pos="1134"/>
      </w:tabs>
      <w:ind w:left="567" w:hanging="567"/>
      <w:jc w:val="right"/>
      <w:rPr>
        <w:rFonts w:ascii="Calibri" w:hAnsi="Calibri" w:cs="Calibri"/>
        <w:b/>
        <w:sz w:val="24"/>
        <w:szCs w:val="24"/>
      </w:rPr>
    </w:pPr>
    <w:r w:rsidRPr="000273C9">
      <w:rPr>
        <w:rFonts w:ascii="Calibri" w:hAnsi="Calibri" w:cs="Calibri"/>
        <w:b/>
        <w:sz w:val="24"/>
        <w:szCs w:val="24"/>
      </w:rPr>
      <w:t>Continuation of agenda item</w:t>
    </w:r>
    <w:r w:rsidR="00C32052">
      <w:rPr>
        <w:rFonts w:ascii="Calibri" w:hAnsi="Calibri" w:cs="Calibri"/>
        <w:b/>
        <w:sz w:val="24"/>
        <w:szCs w:val="24"/>
      </w:rPr>
      <w:t xml:space="preserve"> </w:t>
    </w:r>
    <w:r w:rsidR="006326CB">
      <w:rPr>
        <w:rFonts w:ascii="Calibri" w:hAnsi="Calibri" w:cs="Calibri"/>
        <w:b/>
        <w:sz w:val="24"/>
        <w:szCs w:val="24"/>
      </w:rPr>
      <w:t>9</w:t>
    </w:r>
  </w:p>
  <w:p w14:paraId="35EEA3AE" w14:textId="77777777" w:rsidR="00810704" w:rsidRPr="000273C9" w:rsidRDefault="00810704" w:rsidP="005D5486">
    <w:pPr>
      <w:tabs>
        <w:tab w:val="left" w:pos="1134"/>
      </w:tabs>
      <w:ind w:left="567" w:hanging="567"/>
      <w:jc w:val="right"/>
      <w:rPr>
        <w:rFonts w:ascii="Calibri" w:hAnsi="Calibri" w:cs="Calibri"/>
        <w:b/>
        <w:sz w:val="24"/>
        <w:szCs w:val="24"/>
      </w:rPr>
    </w:pPr>
    <w:r w:rsidRPr="000273C9">
      <w:rPr>
        <w:rFonts w:ascii="Calibri" w:hAnsi="Calibri" w:cs="Calibri"/>
        <w:b/>
        <w:sz w:val="24"/>
        <w:szCs w:val="24"/>
      </w:rPr>
      <w:fldChar w:fldCharType="begin"/>
    </w:r>
    <w:r w:rsidRPr="000273C9">
      <w:rPr>
        <w:rFonts w:ascii="Calibri" w:hAnsi="Calibri" w:cs="Calibri"/>
        <w:b/>
        <w:sz w:val="24"/>
        <w:szCs w:val="24"/>
      </w:rPr>
      <w:instrText xml:space="preserve"> QUOTE   \* MERGEFORMAT </w:instrText>
    </w:r>
    <w:r w:rsidRPr="000273C9">
      <w:rPr>
        <w:rFonts w:ascii="Calibri" w:hAnsi="Calibri" w:cs="Calibri"/>
        <w:b/>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F95"/>
    <w:multiLevelType w:val="hybridMultilevel"/>
    <w:tmpl w:val="7BEA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D2C93"/>
    <w:multiLevelType w:val="hybridMultilevel"/>
    <w:tmpl w:val="2FC4E5D0"/>
    <w:lvl w:ilvl="0" w:tplc="3DEAC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E5219"/>
    <w:multiLevelType w:val="hybridMultilevel"/>
    <w:tmpl w:val="9F24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25B39"/>
    <w:multiLevelType w:val="hybridMultilevel"/>
    <w:tmpl w:val="A0F2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030BC"/>
    <w:multiLevelType w:val="hybridMultilevel"/>
    <w:tmpl w:val="D16CB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27081"/>
    <w:multiLevelType w:val="hybridMultilevel"/>
    <w:tmpl w:val="CD9A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07A9E"/>
    <w:multiLevelType w:val="hybridMultilevel"/>
    <w:tmpl w:val="85080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EB557F"/>
    <w:multiLevelType w:val="hybridMultilevel"/>
    <w:tmpl w:val="5846C6A6"/>
    <w:lvl w:ilvl="0" w:tplc="F388389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9D3E4E"/>
    <w:multiLevelType w:val="hybridMultilevel"/>
    <w:tmpl w:val="7CC884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7861A0"/>
    <w:multiLevelType w:val="hybridMultilevel"/>
    <w:tmpl w:val="E93E7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4FC"/>
    <w:multiLevelType w:val="hybridMultilevel"/>
    <w:tmpl w:val="369A3458"/>
    <w:lvl w:ilvl="0" w:tplc="8834982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37E2F"/>
    <w:multiLevelType w:val="hybridMultilevel"/>
    <w:tmpl w:val="46489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275DAE"/>
    <w:multiLevelType w:val="hybridMultilevel"/>
    <w:tmpl w:val="6580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A468A"/>
    <w:multiLevelType w:val="hybridMultilevel"/>
    <w:tmpl w:val="402E7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C66482A"/>
    <w:multiLevelType w:val="multilevel"/>
    <w:tmpl w:val="678E10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A110FD"/>
    <w:multiLevelType w:val="hybridMultilevel"/>
    <w:tmpl w:val="E5AE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944C55"/>
    <w:multiLevelType w:val="hybridMultilevel"/>
    <w:tmpl w:val="548853C0"/>
    <w:lvl w:ilvl="0" w:tplc="8DCAF8F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25C83"/>
    <w:multiLevelType w:val="hybridMultilevel"/>
    <w:tmpl w:val="1C646B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72A6A"/>
    <w:multiLevelType w:val="hybridMultilevel"/>
    <w:tmpl w:val="B2AE3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222439E"/>
    <w:multiLevelType w:val="hybridMultilevel"/>
    <w:tmpl w:val="8B02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C42AF9"/>
    <w:multiLevelType w:val="hybridMultilevel"/>
    <w:tmpl w:val="BFF8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2A673A"/>
    <w:multiLevelType w:val="hybridMultilevel"/>
    <w:tmpl w:val="05E0B7AE"/>
    <w:lvl w:ilvl="0" w:tplc="EF2CFE72">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813C22"/>
    <w:multiLevelType w:val="hybridMultilevel"/>
    <w:tmpl w:val="59C2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4C0757"/>
    <w:multiLevelType w:val="hybridMultilevel"/>
    <w:tmpl w:val="AD12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94FFD"/>
    <w:multiLevelType w:val="hybridMultilevel"/>
    <w:tmpl w:val="C77A098A"/>
    <w:lvl w:ilvl="0" w:tplc="9842BB4C">
      <w:numFmt w:val="bullet"/>
      <w:lvlText w:val="•"/>
      <w:lvlJc w:val="left"/>
      <w:pPr>
        <w:ind w:left="-382" w:hanging="360"/>
      </w:pPr>
      <w:rPr>
        <w:rFonts w:ascii="Calibri" w:eastAsia="Times New Roman" w:hAnsi="Calibri" w:cs="Calibri" w:hint="default"/>
      </w:rPr>
    </w:lvl>
    <w:lvl w:ilvl="1" w:tplc="08090003" w:tentative="1">
      <w:start w:val="1"/>
      <w:numFmt w:val="bullet"/>
      <w:lvlText w:val="o"/>
      <w:lvlJc w:val="left"/>
      <w:pPr>
        <w:ind w:left="338" w:hanging="360"/>
      </w:pPr>
      <w:rPr>
        <w:rFonts w:ascii="Courier New" w:hAnsi="Courier New" w:cs="Courier New" w:hint="default"/>
      </w:rPr>
    </w:lvl>
    <w:lvl w:ilvl="2" w:tplc="08090005" w:tentative="1">
      <w:start w:val="1"/>
      <w:numFmt w:val="bullet"/>
      <w:lvlText w:val=""/>
      <w:lvlJc w:val="left"/>
      <w:pPr>
        <w:ind w:left="1058" w:hanging="360"/>
      </w:pPr>
      <w:rPr>
        <w:rFonts w:ascii="Wingdings" w:hAnsi="Wingdings" w:hint="default"/>
      </w:rPr>
    </w:lvl>
    <w:lvl w:ilvl="3" w:tplc="08090001" w:tentative="1">
      <w:start w:val="1"/>
      <w:numFmt w:val="bullet"/>
      <w:lvlText w:val=""/>
      <w:lvlJc w:val="left"/>
      <w:pPr>
        <w:ind w:left="1778" w:hanging="360"/>
      </w:pPr>
      <w:rPr>
        <w:rFonts w:ascii="Symbol" w:hAnsi="Symbol" w:hint="default"/>
      </w:rPr>
    </w:lvl>
    <w:lvl w:ilvl="4" w:tplc="08090003" w:tentative="1">
      <w:start w:val="1"/>
      <w:numFmt w:val="bullet"/>
      <w:lvlText w:val="o"/>
      <w:lvlJc w:val="left"/>
      <w:pPr>
        <w:ind w:left="2498" w:hanging="360"/>
      </w:pPr>
      <w:rPr>
        <w:rFonts w:ascii="Courier New" w:hAnsi="Courier New" w:cs="Courier New" w:hint="default"/>
      </w:rPr>
    </w:lvl>
    <w:lvl w:ilvl="5" w:tplc="08090005" w:tentative="1">
      <w:start w:val="1"/>
      <w:numFmt w:val="bullet"/>
      <w:lvlText w:val=""/>
      <w:lvlJc w:val="left"/>
      <w:pPr>
        <w:ind w:left="3218" w:hanging="360"/>
      </w:pPr>
      <w:rPr>
        <w:rFonts w:ascii="Wingdings" w:hAnsi="Wingdings" w:hint="default"/>
      </w:rPr>
    </w:lvl>
    <w:lvl w:ilvl="6" w:tplc="08090001" w:tentative="1">
      <w:start w:val="1"/>
      <w:numFmt w:val="bullet"/>
      <w:lvlText w:val=""/>
      <w:lvlJc w:val="left"/>
      <w:pPr>
        <w:ind w:left="3938" w:hanging="360"/>
      </w:pPr>
      <w:rPr>
        <w:rFonts w:ascii="Symbol" w:hAnsi="Symbol" w:hint="default"/>
      </w:rPr>
    </w:lvl>
    <w:lvl w:ilvl="7" w:tplc="08090003" w:tentative="1">
      <w:start w:val="1"/>
      <w:numFmt w:val="bullet"/>
      <w:lvlText w:val="o"/>
      <w:lvlJc w:val="left"/>
      <w:pPr>
        <w:ind w:left="4658" w:hanging="360"/>
      </w:pPr>
      <w:rPr>
        <w:rFonts w:ascii="Courier New" w:hAnsi="Courier New" w:cs="Courier New" w:hint="default"/>
      </w:rPr>
    </w:lvl>
    <w:lvl w:ilvl="8" w:tplc="08090005" w:tentative="1">
      <w:start w:val="1"/>
      <w:numFmt w:val="bullet"/>
      <w:lvlText w:val=""/>
      <w:lvlJc w:val="left"/>
      <w:pPr>
        <w:ind w:left="5378" w:hanging="360"/>
      </w:pPr>
      <w:rPr>
        <w:rFonts w:ascii="Wingdings" w:hAnsi="Wingdings" w:hint="default"/>
      </w:rPr>
    </w:lvl>
  </w:abstractNum>
  <w:abstractNum w:abstractNumId="25" w15:restartNumberingAfterBreak="0">
    <w:nsid w:val="4D4046AD"/>
    <w:multiLevelType w:val="hybridMultilevel"/>
    <w:tmpl w:val="4858DB38"/>
    <w:lvl w:ilvl="0" w:tplc="EF2CFE72">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DB6434"/>
    <w:multiLevelType w:val="hybridMultilevel"/>
    <w:tmpl w:val="C9BE0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2AB2F8F"/>
    <w:multiLevelType w:val="hybridMultilevel"/>
    <w:tmpl w:val="92F8D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9A068E"/>
    <w:multiLevelType w:val="hybridMultilevel"/>
    <w:tmpl w:val="604C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9B2A32"/>
    <w:multiLevelType w:val="hybridMultilevel"/>
    <w:tmpl w:val="EEB2D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A8B5746"/>
    <w:multiLevelType w:val="hybridMultilevel"/>
    <w:tmpl w:val="C0BA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AB2E9E"/>
    <w:multiLevelType w:val="hybridMultilevel"/>
    <w:tmpl w:val="2EC6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12293A"/>
    <w:multiLevelType w:val="hybridMultilevel"/>
    <w:tmpl w:val="86666934"/>
    <w:lvl w:ilvl="0" w:tplc="7AD00680">
      <w:start w:val="1"/>
      <w:numFmt w:val="bullet"/>
      <w:lvlText w:val="•"/>
      <w:lvlJc w:val="left"/>
      <w:pPr>
        <w:tabs>
          <w:tab w:val="num" w:pos="720"/>
        </w:tabs>
        <w:ind w:left="720" w:hanging="360"/>
      </w:pPr>
      <w:rPr>
        <w:rFonts w:ascii="Arial" w:hAnsi="Arial" w:hint="default"/>
      </w:rPr>
    </w:lvl>
    <w:lvl w:ilvl="1" w:tplc="9BAC8960" w:tentative="1">
      <w:start w:val="1"/>
      <w:numFmt w:val="bullet"/>
      <w:lvlText w:val="•"/>
      <w:lvlJc w:val="left"/>
      <w:pPr>
        <w:tabs>
          <w:tab w:val="num" w:pos="1440"/>
        </w:tabs>
        <w:ind w:left="1440" w:hanging="360"/>
      </w:pPr>
      <w:rPr>
        <w:rFonts w:ascii="Arial" w:hAnsi="Arial" w:hint="default"/>
      </w:rPr>
    </w:lvl>
    <w:lvl w:ilvl="2" w:tplc="8B6ACA20" w:tentative="1">
      <w:start w:val="1"/>
      <w:numFmt w:val="bullet"/>
      <w:lvlText w:val="•"/>
      <w:lvlJc w:val="left"/>
      <w:pPr>
        <w:tabs>
          <w:tab w:val="num" w:pos="2160"/>
        </w:tabs>
        <w:ind w:left="2160" w:hanging="360"/>
      </w:pPr>
      <w:rPr>
        <w:rFonts w:ascii="Arial" w:hAnsi="Arial" w:hint="default"/>
      </w:rPr>
    </w:lvl>
    <w:lvl w:ilvl="3" w:tplc="E71CA950" w:tentative="1">
      <w:start w:val="1"/>
      <w:numFmt w:val="bullet"/>
      <w:lvlText w:val="•"/>
      <w:lvlJc w:val="left"/>
      <w:pPr>
        <w:tabs>
          <w:tab w:val="num" w:pos="2880"/>
        </w:tabs>
        <w:ind w:left="2880" w:hanging="360"/>
      </w:pPr>
      <w:rPr>
        <w:rFonts w:ascii="Arial" w:hAnsi="Arial" w:hint="default"/>
      </w:rPr>
    </w:lvl>
    <w:lvl w:ilvl="4" w:tplc="E40AD7F8" w:tentative="1">
      <w:start w:val="1"/>
      <w:numFmt w:val="bullet"/>
      <w:lvlText w:val="•"/>
      <w:lvlJc w:val="left"/>
      <w:pPr>
        <w:tabs>
          <w:tab w:val="num" w:pos="3600"/>
        </w:tabs>
        <w:ind w:left="3600" w:hanging="360"/>
      </w:pPr>
      <w:rPr>
        <w:rFonts w:ascii="Arial" w:hAnsi="Arial" w:hint="default"/>
      </w:rPr>
    </w:lvl>
    <w:lvl w:ilvl="5" w:tplc="C6DC88E4" w:tentative="1">
      <w:start w:val="1"/>
      <w:numFmt w:val="bullet"/>
      <w:lvlText w:val="•"/>
      <w:lvlJc w:val="left"/>
      <w:pPr>
        <w:tabs>
          <w:tab w:val="num" w:pos="4320"/>
        </w:tabs>
        <w:ind w:left="4320" w:hanging="360"/>
      </w:pPr>
      <w:rPr>
        <w:rFonts w:ascii="Arial" w:hAnsi="Arial" w:hint="default"/>
      </w:rPr>
    </w:lvl>
    <w:lvl w:ilvl="6" w:tplc="344A53BC" w:tentative="1">
      <w:start w:val="1"/>
      <w:numFmt w:val="bullet"/>
      <w:lvlText w:val="•"/>
      <w:lvlJc w:val="left"/>
      <w:pPr>
        <w:tabs>
          <w:tab w:val="num" w:pos="5040"/>
        </w:tabs>
        <w:ind w:left="5040" w:hanging="360"/>
      </w:pPr>
      <w:rPr>
        <w:rFonts w:ascii="Arial" w:hAnsi="Arial" w:hint="default"/>
      </w:rPr>
    </w:lvl>
    <w:lvl w:ilvl="7" w:tplc="C8F2A4E6" w:tentative="1">
      <w:start w:val="1"/>
      <w:numFmt w:val="bullet"/>
      <w:lvlText w:val="•"/>
      <w:lvlJc w:val="left"/>
      <w:pPr>
        <w:tabs>
          <w:tab w:val="num" w:pos="5760"/>
        </w:tabs>
        <w:ind w:left="5760" w:hanging="360"/>
      </w:pPr>
      <w:rPr>
        <w:rFonts w:ascii="Arial" w:hAnsi="Arial" w:hint="default"/>
      </w:rPr>
    </w:lvl>
    <w:lvl w:ilvl="8" w:tplc="7ED8B1C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13C0FE5"/>
    <w:multiLevelType w:val="hybridMultilevel"/>
    <w:tmpl w:val="D8C818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6325551B"/>
    <w:multiLevelType w:val="hybridMultilevel"/>
    <w:tmpl w:val="653E5D3E"/>
    <w:lvl w:ilvl="0" w:tplc="41C4894C">
      <w:start w:val="1"/>
      <w:numFmt w:val="lowerRoman"/>
      <w:lvlText w:val="%1."/>
      <w:lvlJc w:val="right"/>
      <w:pPr>
        <w:tabs>
          <w:tab w:val="num" w:pos="340"/>
        </w:tabs>
        <w:ind w:left="340" w:hanging="52"/>
      </w:pPr>
      <w:rPr>
        <w:rFonts w:ascii="Helvetica 65 Medium" w:hAnsi="Helvetica 65 Medium"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3C3511"/>
    <w:multiLevelType w:val="hybridMultilevel"/>
    <w:tmpl w:val="20060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F84DB6"/>
    <w:multiLevelType w:val="hybridMultilevel"/>
    <w:tmpl w:val="1596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D4528C"/>
    <w:multiLevelType w:val="hybridMultilevel"/>
    <w:tmpl w:val="F354712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8" w15:restartNumberingAfterBreak="0">
    <w:nsid w:val="66797547"/>
    <w:multiLevelType w:val="hybridMultilevel"/>
    <w:tmpl w:val="E7147046"/>
    <w:lvl w:ilvl="0" w:tplc="08090001">
      <w:start w:val="1"/>
      <w:numFmt w:val="bullet"/>
      <w:lvlText w:val=""/>
      <w:lvlJc w:val="left"/>
      <w:pPr>
        <w:ind w:left="-22" w:hanging="360"/>
      </w:pPr>
      <w:rPr>
        <w:rFonts w:ascii="Symbol" w:hAnsi="Symbol" w:hint="default"/>
      </w:rPr>
    </w:lvl>
    <w:lvl w:ilvl="1" w:tplc="08090003" w:tentative="1">
      <w:start w:val="1"/>
      <w:numFmt w:val="bullet"/>
      <w:lvlText w:val="o"/>
      <w:lvlJc w:val="left"/>
      <w:pPr>
        <w:ind w:left="698" w:hanging="360"/>
      </w:pPr>
      <w:rPr>
        <w:rFonts w:ascii="Courier New" w:hAnsi="Courier New" w:cs="Courier New" w:hint="default"/>
      </w:rPr>
    </w:lvl>
    <w:lvl w:ilvl="2" w:tplc="08090005" w:tentative="1">
      <w:start w:val="1"/>
      <w:numFmt w:val="bullet"/>
      <w:lvlText w:val=""/>
      <w:lvlJc w:val="left"/>
      <w:pPr>
        <w:ind w:left="1418" w:hanging="360"/>
      </w:pPr>
      <w:rPr>
        <w:rFonts w:ascii="Wingdings" w:hAnsi="Wingdings" w:hint="default"/>
      </w:rPr>
    </w:lvl>
    <w:lvl w:ilvl="3" w:tplc="08090001" w:tentative="1">
      <w:start w:val="1"/>
      <w:numFmt w:val="bullet"/>
      <w:lvlText w:val=""/>
      <w:lvlJc w:val="left"/>
      <w:pPr>
        <w:ind w:left="2138" w:hanging="360"/>
      </w:pPr>
      <w:rPr>
        <w:rFonts w:ascii="Symbol" w:hAnsi="Symbol" w:hint="default"/>
      </w:rPr>
    </w:lvl>
    <w:lvl w:ilvl="4" w:tplc="08090003" w:tentative="1">
      <w:start w:val="1"/>
      <w:numFmt w:val="bullet"/>
      <w:lvlText w:val="o"/>
      <w:lvlJc w:val="left"/>
      <w:pPr>
        <w:ind w:left="2858" w:hanging="360"/>
      </w:pPr>
      <w:rPr>
        <w:rFonts w:ascii="Courier New" w:hAnsi="Courier New" w:cs="Courier New" w:hint="default"/>
      </w:rPr>
    </w:lvl>
    <w:lvl w:ilvl="5" w:tplc="08090005" w:tentative="1">
      <w:start w:val="1"/>
      <w:numFmt w:val="bullet"/>
      <w:lvlText w:val=""/>
      <w:lvlJc w:val="left"/>
      <w:pPr>
        <w:ind w:left="3578" w:hanging="360"/>
      </w:pPr>
      <w:rPr>
        <w:rFonts w:ascii="Wingdings" w:hAnsi="Wingdings" w:hint="default"/>
      </w:rPr>
    </w:lvl>
    <w:lvl w:ilvl="6" w:tplc="08090001" w:tentative="1">
      <w:start w:val="1"/>
      <w:numFmt w:val="bullet"/>
      <w:lvlText w:val=""/>
      <w:lvlJc w:val="left"/>
      <w:pPr>
        <w:ind w:left="4298" w:hanging="360"/>
      </w:pPr>
      <w:rPr>
        <w:rFonts w:ascii="Symbol" w:hAnsi="Symbol" w:hint="default"/>
      </w:rPr>
    </w:lvl>
    <w:lvl w:ilvl="7" w:tplc="08090003" w:tentative="1">
      <w:start w:val="1"/>
      <w:numFmt w:val="bullet"/>
      <w:lvlText w:val="o"/>
      <w:lvlJc w:val="left"/>
      <w:pPr>
        <w:ind w:left="5018" w:hanging="360"/>
      </w:pPr>
      <w:rPr>
        <w:rFonts w:ascii="Courier New" w:hAnsi="Courier New" w:cs="Courier New" w:hint="default"/>
      </w:rPr>
    </w:lvl>
    <w:lvl w:ilvl="8" w:tplc="08090005" w:tentative="1">
      <w:start w:val="1"/>
      <w:numFmt w:val="bullet"/>
      <w:lvlText w:val=""/>
      <w:lvlJc w:val="left"/>
      <w:pPr>
        <w:ind w:left="5738" w:hanging="360"/>
      </w:pPr>
      <w:rPr>
        <w:rFonts w:ascii="Wingdings" w:hAnsi="Wingdings" w:hint="default"/>
      </w:rPr>
    </w:lvl>
  </w:abstractNum>
  <w:abstractNum w:abstractNumId="39" w15:restartNumberingAfterBreak="0">
    <w:nsid w:val="67963EF1"/>
    <w:multiLevelType w:val="hybridMultilevel"/>
    <w:tmpl w:val="3486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D740E9"/>
    <w:multiLevelType w:val="hybridMultilevel"/>
    <w:tmpl w:val="FF748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ADA07FD"/>
    <w:multiLevelType w:val="hybridMultilevel"/>
    <w:tmpl w:val="542E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FE376F"/>
    <w:multiLevelType w:val="hybridMultilevel"/>
    <w:tmpl w:val="1F823B72"/>
    <w:lvl w:ilvl="0" w:tplc="AD5C55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C60061"/>
    <w:multiLevelType w:val="hybridMultilevel"/>
    <w:tmpl w:val="7FE2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3114E9"/>
    <w:multiLevelType w:val="hybridMultilevel"/>
    <w:tmpl w:val="D1068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BF0329"/>
    <w:multiLevelType w:val="hybridMultilevel"/>
    <w:tmpl w:val="EF761F44"/>
    <w:lvl w:ilvl="0" w:tplc="9FBC7012">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910874"/>
    <w:multiLevelType w:val="hybridMultilevel"/>
    <w:tmpl w:val="F9EED430"/>
    <w:lvl w:ilvl="0" w:tplc="08090001">
      <w:start w:val="1"/>
      <w:numFmt w:val="bullet"/>
      <w:lvlText w:val=""/>
      <w:lvlJc w:val="left"/>
      <w:pPr>
        <w:ind w:left="709"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cs="Courier New" w:hint="default"/>
      </w:rPr>
    </w:lvl>
    <w:lvl w:ilvl="5" w:tplc="08090005">
      <w:start w:val="1"/>
      <w:numFmt w:val="bullet"/>
      <w:lvlText w:val=""/>
      <w:lvlJc w:val="left"/>
      <w:pPr>
        <w:ind w:left="4309" w:hanging="360"/>
      </w:pPr>
      <w:rPr>
        <w:rFonts w:ascii="Wingdings" w:hAnsi="Wingdings" w:hint="default"/>
      </w:rPr>
    </w:lvl>
    <w:lvl w:ilvl="6" w:tplc="08090001">
      <w:start w:val="1"/>
      <w:numFmt w:val="bullet"/>
      <w:lvlText w:val=""/>
      <w:lvlJc w:val="left"/>
      <w:pPr>
        <w:ind w:left="5029" w:hanging="360"/>
      </w:pPr>
      <w:rPr>
        <w:rFonts w:ascii="Symbol" w:hAnsi="Symbol" w:hint="default"/>
      </w:rPr>
    </w:lvl>
    <w:lvl w:ilvl="7" w:tplc="08090003">
      <w:start w:val="1"/>
      <w:numFmt w:val="bullet"/>
      <w:lvlText w:val="o"/>
      <w:lvlJc w:val="left"/>
      <w:pPr>
        <w:ind w:left="5749" w:hanging="360"/>
      </w:pPr>
      <w:rPr>
        <w:rFonts w:ascii="Courier New" w:hAnsi="Courier New" w:cs="Courier New" w:hint="default"/>
      </w:rPr>
    </w:lvl>
    <w:lvl w:ilvl="8" w:tplc="08090005">
      <w:start w:val="1"/>
      <w:numFmt w:val="bullet"/>
      <w:lvlText w:val=""/>
      <w:lvlJc w:val="left"/>
      <w:pPr>
        <w:ind w:left="6469" w:hanging="360"/>
      </w:pPr>
      <w:rPr>
        <w:rFonts w:ascii="Wingdings" w:hAnsi="Wingdings" w:hint="default"/>
      </w:rPr>
    </w:lvl>
  </w:abstractNum>
  <w:num w:numId="1">
    <w:abstractNumId w:val="34"/>
  </w:num>
  <w:num w:numId="2">
    <w:abstractNumId w:val="25"/>
  </w:num>
  <w:num w:numId="3">
    <w:abstractNumId w:val="21"/>
  </w:num>
  <w:num w:numId="4">
    <w:abstractNumId w:val="39"/>
  </w:num>
  <w:num w:numId="5">
    <w:abstractNumId w:val="37"/>
  </w:num>
  <w:num w:numId="6">
    <w:abstractNumId w:val="14"/>
  </w:num>
  <w:num w:numId="7">
    <w:abstractNumId w:val="38"/>
  </w:num>
  <w:num w:numId="8">
    <w:abstractNumId w:val="24"/>
  </w:num>
  <w:num w:numId="9">
    <w:abstractNumId w:val="26"/>
  </w:num>
  <w:num w:numId="10">
    <w:abstractNumId w:val="0"/>
  </w:num>
  <w:num w:numId="11">
    <w:abstractNumId w:val="23"/>
  </w:num>
  <w:num w:numId="12">
    <w:abstractNumId w:val="43"/>
  </w:num>
  <w:num w:numId="13">
    <w:abstractNumId w:val="16"/>
  </w:num>
  <w:num w:numId="14">
    <w:abstractNumId w:val="46"/>
  </w:num>
  <w:num w:numId="15">
    <w:abstractNumId w:val="17"/>
  </w:num>
  <w:num w:numId="16">
    <w:abstractNumId w:val="41"/>
  </w:num>
  <w:num w:numId="17">
    <w:abstractNumId w:val="5"/>
  </w:num>
  <w:num w:numId="18">
    <w:abstractNumId w:val="29"/>
  </w:num>
  <w:num w:numId="19">
    <w:abstractNumId w:val="10"/>
  </w:num>
  <w:num w:numId="20">
    <w:abstractNumId w:val="27"/>
  </w:num>
  <w:num w:numId="21">
    <w:abstractNumId w:val="8"/>
  </w:num>
  <w:num w:numId="22">
    <w:abstractNumId w:val="15"/>
  </w:num>
  <w:num w:numId="23">
    <w:abstractNumId w:val="3"/>
  </w:num>
  <w:num w:numId="24">
    <w:abstractNumId w:val="36"/>
  </w:num>
  <w:num w:numId="25">
    <w:abstractNumId w:val="7"/>
  </w:num>
  <w:num w:numId="26">
    <w:abstractNumId w:val="6"/>
  </w:num>
  <w:num w:numId="27">
    <w:abstractNumId w:val="33"/>
  </w:num>
  <w:num w:numId="28">
    <w:abstractNumId w:val="45"/>
  </w:num>
  <w:num w:numId="29">
    <w:abstractNumId w:val="19"/>
  </w:num>
  <w:num w:numId="30">
    <w:abstractNumId w:val="1"/>
  </w:num>
  <w:num w:numId="31">
    <w:abstractNumId w:val="42"/>
  </w:num>
  <w:num w:numId="32">
    <w:abstractNumId w:val="31"/>
  </w:num>
  <w:num w:numId="33">
    <w:abstractNumId w:val="2"/>
  </w:num>
  <w:num w:numId="34">
    <w:abstractNumId w:val="20"/>
  </w:num>
  <w:num w:numId="35">
    <w:abstractNumId w:val="13"/>
  </w:num>
  <w:num w:numId="36">
    <w:abstractNumId w:val="18"/>
  </w:num>
  <w:num w:numId="37">
    <w:abstractNumId w:val="11"/>
  </w:num>
  <w:num w:numId="38">
    <w:abstractNumId w:val="22"/>
  </w:num>
  <w:num w:numId="39">
    <w:abstractNumId w:val="12"/>
  </w:num>
  <w:num w:numId="40">
    <w:abstractNumId w:val="30"/>
  </w:num>
  <w:num w:numId="41">
    <w:abstractNumId w:val="40"/>
  </w:num>
  <w:num w:numId="42">
    <w:abstractNumId w:val="35"/>
  </w:num>
  <w:num w:numId="43">
    <w:abstractNumId w:val="32"/>
  </w:num>
  <w:num w:numId="44">
    <w:abstractNumId w:val="9"/>
  </w:num>
  <w:num w:numId="45">
    <w:abstractNumId w:val="28"/>
  </w:num>
  <w:num w:numId="46">
    <w:abstractNumId w:val="4"/>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345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90"/>
    <w:rsid w:val="000015F4"/>
    <w:rsid w:val="000016F5"/>
    <w:rsid w:val="00001A35"/>
    <w:rsid w:val="00003623"/>
    <w:rsid w:val="000044D8"/>
    <w:rsid w:val="00010196"/>
    <w:rsid w:val="000101A7"/>
    <w:rsid w:val="00011CD5"/>
    <w:rsid w:val="0001269A"/>
    <w:rsid w:val="00013EED"/>
    <w:rsid w:val="0001471C"/>
    <w:rsid w:val="00014E00"/>
    <w:rsid w:val="00014E84"/>
    <w:rsid w:val="00016D59"/>
    <w:rsid w:val="00016E5D"/>
    <w:rsid w:val="00017316"/>
    <w:rsid w:val="000174F2"/>
    <w:rsid w:val="000205C1"/>
    <w:rsid w:val="00020608"/>
    <w:rsid w:val="000213CB"/>
    <w:rsid w:val="00021EB4"/>
    <w:rsid w:val="000229D0"/>
    <w:rsid w:val="000254F2"/>
    <w:rsid w:val="000273C9"/>
    <w:rsid w:val="00027DD7"/>
    <w:rsid w:val="0003130C"/>
    <w:rsid w:val="00031C2D"/>
    <w:rsid w:val="0003256F"/>
    <w:rsid w:val="00032B1A"/>
    <w:rsid w:val="00034550"/>
    <w:rsid w:val="000408FB"/>
    <w:rsid w:val="0004095A"/>
    <w:rsid w:val="0004132B"/>
    <w:rsid w:val="00041401"/>
    <w:rsid w:val="00041771"/>
    <w:rsid w:val="000418F5"/>
    <w:rsid w:val="00041B13"/>
    <w:rsid w:val="00041C07"/>
    <w:rsid w:val="00041D41"/>
    <w:rsid w:val="00041D59"/>
    <w:rsid w:val="00043A0E"/>
    <w:rsid w:val="00043BD3"/>
    <w:rsid w:val="00043F0F"/>
    <w:rsid w:val="000458DB"/>
    <w:rsid w:val="000473AD"/>
    <w:rsid w:val="000500DA"/>
    <w:rsid w:val="0005024A"/>
    <w:rsid w:val="000524EF"/>
    <w:rsid w:val="00053CA7"/>
    <w:rsid w:val="00053DDD"/>
    <w:rsid w:val="00054334"/>
    <w:rsid w:val="00054842"/>
    <w:rsid w:val="000552AB"/>
    <w:rsid w:val="000575EE"/>
    <w:rsid w:val="0005763D"/>
    <w:rsid w:val="00061D28"/>
    <w:rsid w:val="00062314"/>
    <w:rsid w:val="000631A6"/>
    <w:rsid w:val="000654F9"/>
    <w:rsid w:val="000657A7"/>
    <w:rsid w:val="0006597F"/>
    <w:rsid w:val="00065E01"/>
    <w:rsid w:val="00066B23"/>
    <w:rsid w:val="00067976"/>
    <w:rsid w:val="00070D83"/>
    <w:rsid w:val="00071305"/>
    <w:rsid w:val="0007259C"/>
    <w:rsid w:val="000727A7"/>
    <w:rsid w:val="00072A9E"/>
    <w:rsid w:val="00073124"/>
    <w:rsid w:val="00073DCD"/>
    <w:rsid w:val="00074B45"/>
    <w:rsid w:val="00074D12"/>
    <w:rsid w:val="00075E73"/>
    <w:rsid w:val="00076B7C"/>
    <w:rsid w:val="00077D50"/>
    <w:rsid w:val="000807BF"/>
    <w:rsid w:val="00082B4A"/>
    <w:rsid w:val="00083A8D"/>
    <w:rsid w:val="000846B1"/>
    <w:rsid w:val="00085E16"/>
    <w:rsid w:val="000932E6"/>
    <w:rsid w:val="0009349B"/>
    <w:rsid w:val="000941FC"/>
    <w:rsid w:val="00094CF9"/>
    <w:rsid w:val="00094FC0"/>
    <w:rsid w:val="000974B2"/>
    <w:rsid w:val="00097DF6"/>
    <w:rsid w:val="000A29B1"/>
    <w:rsid w:val="000A424C"/>
    <w:rsid w:val="000A63A2"/>
    <w:rsid w:val="000B1FB1"/>
    <w:rsid w:val="000B38C7"/>
    <w:rsid w:val="000B4C23"/>
    <w:rsid w:val="000B52CE"/>
    <w:rsid w:val="000B557E"/>
    <w:rsid w:val="000B6932"/>
    <w:rsid w:val="000C0111"/>
    <w:rsid w:val="000C067C"/>
    <w:rsid w:val="000C0857"/>
    <w:rsid w:val="000C150A"/>
    <w:rsid w:val="000C2081"/>
    <w:rsid w:val="000C25C2"/>
    <w:rsid w:val="000C4C42"/>
    <w:rsid w:val="000C6544"/>
    <w:rsid w:val="000D1D67"/>
    <w:rsid w:val="000E2AAA"/>
    <w:rsid w:val="000E424D"/>
    <w:rsid w:val="000E4461"/>
    <w:rsid w:val="000E5497"/>
    <w:rsid w:val="000E6913"/>
    <w:rsid w:val="000E7537"/>
    <w:rsid w:val="000F052C"/>
    <w:rsid w:val="000F093D"/>
    <w:rsid w:val="000F098E"/>
    <w:rsid w:val="000F0E2C"/>
    <w:rsid w:val="000F17B3"/>
    <w:rsid w:val="000F27AE"/>
    <w:rsid w:val="000F351F"/>
    <w:rsid w:val="000F3D3E"/>
    <w:rsid w:val="000F3F43"/>
    <w:rsid w:val="000F4102"/>
    <w:rsid w:val="000F609C"/>
    <w:rsid w:val="000F6B90"/>
    <w:rsid w:val="000F6CB3"/>
    <w:rsid w:val="000F6D36"/>
    <w:rsid w:val="000F777A"/>
    <w:rsid w:val="000F7C8F"/>
    <w:rsid w:val="001016AC"/>
    <w:rsid w:val="001019B1"/>
    <w:rsid w:val="00101B16"/>
    <w:rsid w:val="00101B5B"/>
    <w:rsid w:val="00101F3D"/>
    <w:rsid w:val="00102268"/>
    <w:rsid w:val="001024C6"/>
    <w:rsid w:val="00102A9F"/>
    <w:rsid w:val="00104CBF"/>
    <w:rsid w:val="00104F3E"/>
    <w:rsid w:val="0010654F"/>
    <w:rsid w:val="00106B35"/>
    <w:rsid w:val="00110FB3"/>
    <w:rsid w:val="00113275"/>
    <w:rsid w:val="0011409C"/>
    <w:rsid w:val="00114618"/>
    <w:rsid w:val="00116713"/>
    <w:rsid w:val="00117BB9"/>
    <w:rsid w:val="001207EE"/>
    <w:rsid w:val="00121212"/>
    <w:rsid w:val="00122310"/>
    <w:rsid w:val="00122361"/>
    <w:rsid w:val="0012250C"/>
    <w:rsid w:val="0012318F"/>
    <w:rsid w:val="001238C0"/>
    <w:rsid w:val="00123AC3"/>
    <w:rsid w:val="00130690"/>
    <w:rsid w:val="00131386"/>
    <w:rsid w:val="001324B7"/>
    <w:rsid w:val="00136959"/>
    <w:rsid w:val="00137F70"/>
    <w:rsid w:val="0014225F"/>
    <w:rsid w:val="00143035"/>
    <w:rsid w:val="00143C19"/>
    <w:rsid w:val="001449E9"/>
    <w:rsid w:val="00145223"/>
    <w:rsid w:val="0014575D"/>
    <w:rsid w:val="0014582C"/>
    <w:rsid w:val="00145A0D"/>
    <w:rsid w:val="00145AD3"/>
    <w:rsid w:val="00146EBE"/>
    <w:rsid w:val="001515C8"/>
    <w:rsid w:val="00151774"/>
    <w:rsid w:val="00151E18"/>
    <w:rsid w:val="00152D63"/>
    <w:rsid w:val="0015319D"/>
    <w:rsid w:val="00155129"/>
    <w:rsid w:val="0015672F"/>
    <w:rsid w:val="00156F93"/>
    <w:rsid w:val="00156FC2"/>
    <w:rsid w:val="0015771B"/>
    <w:rsid w:val="0015781E"/>
    <w:rsid w:val="00160AE3"/>
    <w:rsid w:val="00160DD0"/>
    <w:rsid w:val="00161481"/>
    <w:rsid w:val="00162271"/>
    <w:rsid w:val="00162368"/>
    <w:rsid w:val="001628F6"/>
    <w:rsid w:val="00163088"/>
    <w:rsid w:val="0016319B"/>
    <w:rsid w:val="00163536"/>
    <w:rsid w:val="0016390A"/>
    <w:rsid w:val="0016433A"/>
    <w:rsid w:val="0016503F"/>
    <w:rsid w:val="00165E71"/>
    <w:rsid w:val="00171E1C"/>
    <w:rsid w:val="0017260B"/>
    <w:rsid w:val="00173A2B"/>
    <w:rsid w:val="00173E31"/>
    <w:rsid w:val="001762D6"/>
    <w:rsid w:val="00177A82"/>
    <w:rsid w:val="00180342"/>
    <w:rsid w:val="00182D17"/>
    <w:rsid w:val="00185B67"/>
    <w:rsid w:val="00186EE2"/>
    <w:rsid w:val="00187403"/>
    <w:rsid w:val="00187716"/>
    <w:rsid w:val="001900EF"/>
    <w:rsid w:val="0019178D"/>
    <w:rsid w:val="0019191A"/>
    <w:rsid w:val="00192BEB"/>
    <w:rsid w:val="00195D94"/>
    <w:rsid w:val="001977EC"/>
    <w:rsid w:val="001A0130"/>
    <w:rsid w:val="001A0ABB"/>
    <w:rsid w:val="001A125A"/>
    <w:rsid w:val="001A3749"/>
    <w:rsid w:val="001A5CED"/>
    <w:rsid w:val="001A6473"/>
    <w:rsid w:val="001A6506"/>
    <w:rsid w:val="001A6DC2"/>
    <w:rsid w:val="001B1863"/>
    <w:rsid w:val="001B1C0B"/>
    <w:rsid w:val="001B205A"/>
    <w:rsid w:val="001B3986"/>
    <w:rsid w:val="001B3CC2"/>
    <w:rsid w:val="001B49B8"/>
    <w:rsid w:val="001B4F2D"/>
    <w:rsid w:val="001B7924"/>
    <w:rsid w:val="001B7AAD"/>
    <w:rsid w:val="001C1284"/>
    <w:rsid w:val="001C1E78"/>
    <w:rsid w:val="001C23B0"/>
    <w:rsid w:val="001C33F2"/>
    <w:rsid w:val="001C3786"/>
    <w:rsid w:val="001C3987"/>
    <w:rsid w:val="001C428C"/>
    <w:rsid w:val="001C492C"/>
    <w:rsid w:val="001C4E21"/>
    <w:rsid w:val="001C6839"/>
    <w:rsid w:val="001C70F3"/>
    <w:rsid w:val="001C7190"/>
    <w:rsid w:val="001C72B9"/>
    <w:rsid w:val="001D11F1"/>
    <w:rsid w:val="001D134E"/>
    <w:rsid w:val="001D2717"/>
    <w:rsid w:val="001D7FC3"/>
    <w:rsid w:val="001E021C"/>
    <w:rsid w:val="001E08E6"/>
    <w:rsid w:val="001E26B9"/>
    <w:rsid w:val="001E2870"/>
    <w:rsid w:val="001E341B"/>
    <w:rsid w:val="001E391A"/>
    <w:rsid w:val="001E4219"/>
    <w:rsid w:val="001E4B1C"/>
    <w:rsid w:val="001E4B28"/>
    <w:rsid w:val="001E5B52"/>
    <w:rsid w:val="001E5DB0"/>
    <w:rsid w:val="001E5F84"/>
    <w:rsid w:val="001E649A"/>
    <w:rsid w:val="001E6C42"/>
    <w:rsid w:val="001F0921"/>
    <w:rsid w:val="001F09B1"/>
    <w:rsid w:val="001F1224"/>
    <w:rsid w:val="001F2008"/>
    <w:rsid w:val="001F235D"/>
    <w:rsid w:val="001F343D"/>
    <w:rsid w:val="001F71B4"/>
    <w:rsid w:val="002003B0"/>
    <w:rsid w:val="00200A40"/>
    <w:rsid w:val="00202F12"/>
    <w:rsid w:val="00204295"/>
    <w:rsid w:val="00204A7A"/>
    <w:rsid w:val="00204EB8"/>
    <w:rsid w:val="00205D29"/>
    <w:rsid w:val="00207E69"/>
    <w:rsid w:val="00211D96"/>
    <w:rsid w:val="00217A11"/>
    <w:rsid w:val="00220D76"/>
    <w:rsid w:val="00220DEF"/>
    <w:rsid w:val="00221D70"/>
    <w:rsid w:val="00222837"/>
    <w:rsid w:val="00222BC5"/>
    <w:rsid w:val="0022306A"/>
    <w:rsid w:val="002238C2"/>
    <w:rsid w:val="00224BEA"/>
    <w:rsid w:val="00225C5A"/>
    <w:rsid w:val="00227245"/>
    <w:rsid w:val="00227AFA"/>
    <w:rsid w:val="00227B3F"/>
    <w:rsid w:val="00231675"/>
    <w:rsid w:val="0023335B"/>
    <w:rsid w:val="00233502"/>
    <w:rsid w:val="0023359D"/>
    <w:rsid w:val="00241CB9"/>
    <w:rsid w:val="00241E2E"/>
    <w:rsid w:val="00241F17"/>
    <w:rsid w:val="002420EE"/>
    <w:rsid w:val="002438DB"/>
    <w:rsid w:val="00245438"/>
    <w:rsid w:val="00245DDC"/>
    <w:rsid w:val="002462ED"/>
    <w:rsid w:val="00250A2C"/>
    <w:rsid w:val="002525C0"/>
    <w:rsid w:val="00252EFE"/>
    <w:rsid w:val="00253D42"/>
    <w:rsid w:val="00254562"/>
    <w:rsid w:val="00254AE4"/>
    <w:rsid w:val="00254E96"/>
    <w:rsid w:val="002576F7"/>
    <w:rsid w:val="002577BA"/>
    <w:rsid w:val="00261689"/>
    <w:rsid w:val="00263227"/>
    <w:rsid w:val="0026455F"/>
    <w:rsid w:val="002649EB"/>
    <w:rsid w:val="002667A5"/>
    <w:rsid w:val="00266A88"/>
    <w:rsid w:val="00267B89"/>
    <w:rsid w:val="00270158"/>
    <w:rsid w:val="002704CE"/>
    <w:rsid w:val="00272105"/>
    <w:rsid w:val="0027316E"/>
    <w:rsid w:val="0027464E"/>
    <w:rsid w:val="002759BB"/>
    <w:rsid w:val="00275F9B"/>
    <w:rsid w:val="0027754B"/>
    <w:rsid w:val="00277A62"/>
    <w:rsid w:val="00277F4D"/>
    <w:rsid w:val="002802D0"/>
    <w:rsid w:val="002818DB"/>
    <w:rsid w:val="00282F28"/>
    <w:rsid w:val="002840DE"/>
    <w:rsid w:val="002847E3"/>
    <w:rsid w:val="00285398"/>
    <w:rsid w:val="00290707"/>
    <w:rsid w:val="00291AE4"/>
    <w:rsid w:val="002925A2"/>
    <w:rsid w:val="002938DC"/>
    <w:rsid w:val="00296031"/>
    <w:rsid w:val="002A01DC"/>
    <w:rsid w:val="002A1FA3"/>
    <w:rsid w:val="002A5363"/>
    <w:rsid w:val="002A75C0"/>
    <w:rsid w:val="002B202B"/>
    <w:rsid w:val="002B2E7A"/>
    <w:rsid w:val="002B43F3"/>
    <w:rsid w:val="002B5C0D"/>
    <w:rsid w:val="002B6330"/>
    <w:rsid w:val="002C0BDC"/>
    <w:rsid w:val="002C0FE1"/>
    <w:rsid w:val="002C17B9"/>
    <w:rsid w:val="002C1E83"/>
    <w:rsid w:val="002C2DB5"/>
    <w:rsid w:val="002C4F8D"/>
    <w:rsid w:val="002C580F"/>
    <w:rsid w:val="002D093C"/>
    <w:rsid w:val="002D1857"/>
    <w:rsid w:val="002D3140"/>
    <w:rsid w:val="002D3EE4"/>
    <w:rsid w:val="002D4662"/>
    <w:rsid w:val="002D500E"/>
    <w:rsid w:val="002D58D6"/>
    <w:rsid w:val="002D62B8"/>
    <w:rsid w:val="002D6816"/>
    <w:rsid w:val="002D6C84"/>
    <w:rsid w:val="002E2A78"/>
    <w:rsid w:val="002E2F1A"/>
    <w:rsid w:val="002E3A5B"/>
    <w:rsid w:val="002E63A5"/>
    <w:rsid w:val="002E65C2"/>
    <w:rsid w:val="002E6FEB"/>
    <w:rsid w:val="002E7087"/>
    <w:rsid w:val="002E765C"/>
    <w:rsid w:val="002E79A6"/>
    <w:rsid w:val="002F0189"/>
    <w:rsid w:val="002F2422"/>
    <w:rsid w:val="002F3444"/>
    <w:rsid w:val="002F4E96"/>
    <w:rsid w:val="003012B6"/>
    <w:rsid w:val="003012CD"/>
    <w:rsid w:val="00301823"/>
    <w:rsid w:val="00301E21"/>
    <w:rsid w:val="00306131"/>
    <w:rsid w:val="0031202A"/>
    <w:rsid w:val="003128DB"/>
    <w:rsid w:val="0031508B"/>
    <w:rsid w:val="00316081"/>
    <w:rsid w:val="00317716"/>
    <w:rsid w:val="00317A1F"/>
    <w:rsid w:val="0032210D"/>
    <w:rsid w:val="0032214A"/>
    <w:rsid w:val="00322AAB"/>
    <w:rsid w:val="00323875"/>
    <w:rsid w:val="00323AA7"/>
    <w:rsid w:val="00324F5B"/>
    <w:rsid w:val="00327316"/>
    <w:rsid w:val="00327503"/>
    <w:rsid w:val="003322FE"/>
    <w:rsid w:val="00332940"/>
    <w:rsid w:val="003339C7"/>
    <w:rsid w:val="003342C9"/>
    <w:rsid w:val="003378CE"/>
    <w:rsid w:val="00341A4A"/>
    <w:rsid w:val="00344B9F"/>
    <w:rsid w:val="003462CB"/>
    <w:rsid w:val="0034659D"/>
    <w:rsid w:val="00351A12"/>
    <w:rsid w:val="00352428"/>
    <w:rsid w:val="0035263D"/>
    <w:rsid w:val="0035266B"/>
    <w:rsid w:val="00352DBC"/>
    <w:rsid w:val="00353BB5"/>
    <w:rsid w:val="00354A0D"/>
    <w:rsid w:val="00361991"/>
    <w:rsid w:val="003619FE"/>
    <w:rsid w:val="00361FD2"/>
    <w:rsid w:val="00364052"/>
    <w:rsid w:val="003659ED"/>
    <w:rsid w:val="003703F8"/>
    <w:rsid w:val="00371372"/>
    <w:rsid w:val="00372A6E"/>
    <w:rsid w:val="00372EAB"/>
    <w:rsid w:val="0037358E"/>
    <w:rsid w:val="00373B52"/>
    <w:rsid w:val="00373DB7"/>
    <w:rsid w:val="0037654A"/>
    <w:rsid w:val="003767D4"/>
    <w:rsid w:val="00377315"/>
    <w:rsid w:val="00380116"/>
    <w:rsid w:val="00380518"/>
    <w:rsid w:val="003807FB"/>
    <w:rsid w:val="00383FC1"/>
    <w:rsid w:val="003858E9"/>
    <w:rsid w:val="00386228"/>
    <w:rsid w:val="00393478"/>
    <w:rsid w:val="00395AC4"/>
    <w:rsid w:val="00397C67"/>
    <w:rsid w:val="003A041A"/>
    <w:rsid w:val="003A0FF9"/>
    <w:rsid w:val="003A10E2"/>
    <w:rsid w:val="003A2370"/>
    <w:rsid w:val="003A4037"/>
    <w:rsid w:val="003A54E0"/>
    <w:rsid w:val="003A58F6"/>
    <w:rsid w:val="003A5A17"/>
    <w:rsid w:val="003A6992"/>
    <w:rsid w:val="003A6D95"/>
    <w:rsid w:val="003A799E"/>
    <w:rsid w:val="003A7C0F"/>
    <w:rsid w:val="003B7290"/>
    <w:rsid w:val="003B7601"/>
    <w:rsid w:val="003C10BD"/>
    <w:rsid w:val="003C1909"/>
    <w:rsid w:val="003C1947"/>
    <w:rsid w:val="003C2686"/>
    <w:rsid w:val="003C5D59"/>
    <w:rsid w:val="003C628C"/>
    <w:rsid w:val="003C6614"/>
    <w:rsid w:val="003C7D10"/>
    <w:rsid w:val="003C7E71"/>
    <w:rsid w:val="003D1AD8"/>
    <w:rsid w:val="003D2202"/>
    <w:rsid w:val="003D5FCD"/>
    <w:rsid w:val="003D711A"/>
    <w:rsid w:val="003D74F8"/>
    <w:rsid w:val="003D7974"/>
    <w:rsid w:val="003E18A7"/>
    <w:rsid w:val="003E37D6"/>
    <w:rsid w:val="003E45AC"/>
    <w:rsid w:val="003E45CE"/>
    <w:rsid w:val="003E475B"/>
    <w:rsid w:val="003E6515"/>
    <w:rsid w:val="003E66C7"/>
    <w:rsid w:val="003E7C49"/>
    <w:rsid w:val="003F0768"/>
    <w:rsid w:val="003F13CC"/>
    <w:rsid w:val="003F1468"/>
    <w:rsid w:val="003F3AF4"/>
    <w:rsid w:val="003F3CDA"/>
    <w:rsid w:val="003F4174"/>
    <w:rsid w:val="003F4184"/>
    <w:rsid w:val="003F4696"/>
    <w:rsid w:val="003F54EF"/>
    <w:rsid w:val="003F5CE5"/>
    <w:rsid w:val="003F5D17"/>
    <w:rsid w:val="003F5F2A"/>
    <w:rsid w:val="003F5FCE"/>
    <w:rsid w:val="003F6506"/>
    <w:rsid w:val="003F6FCC"/>
    <w:rsid w:val="003F7999"/>
    <w:rsid w:val="004001FE"/>
    <w:rsid w:val="00400B0D"/>
    <w:rsid w:val="004016E7"/>
    <w:rsid w:val="004018D4"/>
    <w:rsid w:val="004019C3"/>
    <w:rsid w:val="00402345"/>
    <w:rsid w:val="004071C8"/>
    <w:rsid w:val="00411F75"/>
    <w:rsid w:val="004129B5"/>
    <w:rsid w:val="00413616"/>
    <w:rsid w:val="00415F82"/>
    <w:rsid w:val="004174AD"/>
    <w:rsid w:val="00420318"/>
    <w:rsid w:val="0042145F"/>
    <w:rsid w:val="00422304"/>
    <w:rsid w:val="00422C33"/>
    <w:rsid w:val="0042428A"/>
    <w:rsid w:val="004243D2"/>
    <w:rsid w:val="00424931"/>
    <w:rsid w:val="00424ADE"/>
    <w:rsid w:val="00424BE9"/>
    <w:rsid w:val="00425DA1"/>
    <w:rsid w:val="004261D1"/>
    <w:rsid w:val="0043003B"/>
    <w:rsid w:val="00430FA9"/>
    <w:rsid w:val="0043257C"/>
    <w:rsid w:val="00432CA1"/>
    <w:rsid w:val="00432DD7"/>
    <w:rsid w:val="00433C1F"/>
    <w:rsid w:val="004362DE"/>
    <w:rsid w:val="0043690B"/>
    <w:rsid w:val="00437AEC"/>
    <w:rsid w:val="00441200"/>
    <w:rsid w:val="004417CB"/>
    <w:rsid w:val="00441935"/>
    <w:rsid w:val="004420E6"/>
    <w:rsid w:val="004435F4"/>
    <w:rsid w:val="00447CBF"/>
    <w:rsid w:val="0045003D"/>
    <w:rsid w:val="00451033"/>
    <w:rsid w:val="00452405"/>
    <w:rsid w:val="004526A6"/>
    <w:rsid w:val="0045576D"/>
    <w:rsid w:val="00455AAC"/>
    <w:rsid w:val="00461B76"/>
    <w:rsid w:val="00462557"/>
    <w:rsid w:val="0046257A"/>
    <w:rsid w:val="00464634"/>
    <w:rsid w:val="004657FF"/>
    <w:rsid w:val="00465B23"/>
    <w:rsid w:val="0046674F"/>
    <w:rsid w:val="0046716A"/>
    <w:rsid w:val="004702F4"/>
    <w:rsid w:val="0047156A"/>
    <w:rsid w:val="004738E0"/>
    <w:rsid w:val="004740CD"/>
    <w:rsid w:val="004748F3"/>
    <w:rsid w:val="00474FAB"/>
    <w:rsid w:val="00476576"/>
    <w:rsid w:val="004769EF"/>
    <w:rsid w:val="00477664"/>
    <w:rsid w:val="00480BA4"/>
    <w:rsid w:val="004810F1"/>
    <w:rsid w:val="004817A5"/>
    <w:rsid w:val="00481D39"/>
    <w:rsid w:val="00482BED"/>
    <w:rsid w:val="00483259"/>
    <w:rsid w:val="00483BE9"/>
    <w:rsid w:val="00483DEE"/>
    <w:rsid w:val="00484468"/>
    <w:rsid w:val="0048549C"/>
    <w:rsid w:val="0048774D"/>
    <w:rsid w:val="00490735"/>
    <w:rsid w:val="00491207"/>
    <w:rsid w:val="004924A9"/>
    <w:rsid w:val="004944C2"/>
    <w:rsid w:val="00494967"/>
    <w:rsid w:val="00494C9A"/>
    <w:rsid w:val="00495865"/>
    <w:rsid w:val="00495899"/>
    <w:rsid w:val="00495C9C"/>
    <w:rsid w:val="00495D25"/>
    <w:rsid w:val="00496AC8"/>
    <w:rsid w:val="00496ED0"/>
    <w:rsid w:val="004974AE"/>
    <w:rsid w:val="004978CF"/>
    <w:rsid w:val="004979BA"/>
    <w:rsid w:val="004A0C15"/>
    <w:rsid w:val="004A0CE0"/>
    <w:rsid w:val="004A102E"/>
    <w:rsid w:val="004A16D0"/>
    <w:rsid w:val="004A279D"/>
    <w:rsid w:val="004A4E91"/>
    <w:rsid w:val="004A554E"/>
    <w:rsid w:val="004A6536"/>
    <w:rsid w:val="004A7025"/>
    <w:rsid w:val="004B1826"/>
    <w:rsid w:val="004B23ED"/>
    <w:rsid w:val="004B2577"/>
    <w:rsid w:val="004B3852"/>
    <w:rsid w:val="004B4E38"/>
    <w:rsid w:val="004B4E39"/>
    <w:rsid w:val="004B4EBA"/>
    <w:rsid w:val="004B61FD"/>
    <w:rsid w:val="004B7CAA"/>
    <w:rsid w:val="004C1275"/>
    <w:rsid w:val="004C188C"/>
    <w:rsid w:val="004C35BC"/>
    <w:rsid w:val="004C52AF"/>
    <w:rsid w:val="004C583A"/>
    <w:rsid w:val="004C5E31"/>
    <w:rsid w:val="004C5F59"/>
    <w:rsid w:val="004C6AA9"/>
    <w:rsid w:val="004C7B05"/>
    <w:rsid w:val="004C7F5E"/>
    <w:rsid w:val="004D1354"/>
    <w:rsid w:val="004D1391"/>
    <w:rsid w:val="004D3C75"/>
    <w:rsid w:val="004D3E0F"/>
    <w:rsid w:val="004D4514"/>
    <w:rsid w:val="004D4986"/>
    <w:rsid w:val="004D4D68"/>
    <w:rsid w:val="004D576A"/>
    <w:rsid w:val="004D6EFA"/>
    <w:rsid w:val="004D7EB3"/>
    <w:rsid w:val="004E0B16"/>
    <w:rsid w:val="004E0C21"/>
    <w:rsid w:val="004E1A65"/>
    <w:rsid w:val="004E36E6"/>
    <w:rsid w:val="004E619F"/>
    <w:rsid w:val="004E7727"/>
    <w:rsid w:val="004E7F5B"/>
    <w:rsid w:val="004F18F9"/>
    <w:rsid w:val="004F2086"/>
    <w:rsid w:val="004F3538"/>
    <w:rsid w:val="004F3F03"/>
    <w:rsid w:val="004F465C"/>
    <w:rsid w:val="004F4FA5"/>
    <w:rsid w:val="004F6385"/>
    <w:rsid w:val="004F6FE8"/>
    <w:rsid w:val="005002E6"/>
    <w:rsid w:val="005013BB"/>
    <w:rsid w:val="0050152D"/>
    <w:rsid w:val="005016C3"/>
    <w:rsid w:val="00502695"/>
    <w:rsid w:val="0050369D"/>
    <w:rsid w:val="00503FCB"/>
    <w:rsid w:val="00504663"/>
    <w:rsid w:val="005050D2"/>
    <w:rsid w:val="0050527D"/>
    <w:rsid w:val="00506409"/>
    <w:rsid w:val="005106CD"/>
    <w:rsid w:val="00510D81"/>
    <w:rsid w:val="005129CB"/>
    <w:rsid w:val="00513596"/>
    <w:rsid w:val="005137C5"/>
    <w:rsid w:val="00514F2A"/>
    <w:rsid w:val="005163E2"/>
    <w:rsid w:val="0051746D"/>
    <w:rsid w:val="005178D6"/>
    <w:rsid w:val="00517F06"/>
    <w:rsid w:val="00520A41"/>
    <w:rsid w:val="00523353"/>
    <w:rsid w:val="00523614"/>
    <w:rsid w:val="00523EF6"/>
    <w:rsid w:val="005249F9"/>
    <w:rsid w:val="00525029"/>
    <w:rsid w:val="005276AF"/>
    <w:rsid w:val="005278FA"/>
    <w:rsid w:val="00531595"/>
    <w:rsid w:val="00531ECB"/>
    <w:rsid w:val="005329F4"/>
    <w:rsid w:val="00533750"/>
    <w:rsid w:val="00533BD4"/>
    <w:rsid w:val="0053437F"/>
    <w:rsid w:val="005354E6"/>
    <w:rsid w:val="00535E26"/>
    <w:rsid w:val="00536375"/>
    <w:rsid w:val="00540C82"/>
    <w:rsid w:val="00541313"/>
    <w:rsid w:val="005414F1"/>
    <w:rsid w:val="005433B7"/>
    <w:rsid w:val="005435A3"/>
    <w:rsid w:val="00544818"/>
    <w:rsid w:val="00545446"/>
    <w:rsid w:val="00545F07"/>
    <w:rsid w:val="00547F4F"/>
    <w:rsid w:val="005512FD"/>
    <w:rsid w:val="00552FD1"/>
    <w:rsid w:val="00555286"/>
    <w:rsid w:val="005555F0"/>
    <w:rsid w:val="00557581"/>
    <w:rsid w:val="005576E0"/>
    <w:rsid w:val="00557988"/>
    <w:rsid w:val="005579DA"/>
    <w:rsid w:val="00557D41"/>
    <w:rsid w:val="00560000"/>
    <w:rsid w:val="00561FDD"/>
    <w:rsid w:val="00562390"/>
    <w:rsid w:val="00563249"/>
    <w:rsid w:val="0056378E"/>
    <w:rsid w:val="00564366"/>
    <w:rsid w:val="00566977"/>
    <w:rsid w:val="00567571"/>
    <w:rsid w:val="00571B28"/>
    <w:rsid w:val="005722E0"/>
    <w:rsid w:val="005736A0"/>
    <w:rsid w:val="0057381D"/>
    <w:rsid w:val="0057585F"/>
    <w:rsid w:val="00575E3F"/>
    <w:rsid w:val="00576401"/>
    <w:rsid w:val="005770D5"/>
    <w:rsid w:val="0058237A"/>
    <w:rsid w:val="005825F1"/>
    <w:rsid w:val="005838C8"/>
    <w:rsid w:val="00586827"/>
    <w:rsid w:val="00586DF2"/>
    <w:rsid w:val="0059084A"/>
    <w:rsid w:val="005914B4"/>
    <w:rsid w:val="00591690"/>
    <w:rsid w:val="00593759"/>
    <w:rsid w:val="0059386D"/>
    <w:rsid w:val="00594DBD"/>
    <w:rsid w:val="00595F38"/>
    <w:rsid w:val="00596829"/>
    <w:rsid w:val="00596907"/>
    <w:rsid w:val="005A021C"/>
    <w:rsid w:val="005A2E48"/>
    <w:rsid w:val="005A4210"/>
    <w:rsid w:val="005A436D"/>
    <w:rsid w:val="005A5F3C"/>
    <w:rsid w:val="005A6178"/>
    <w:rsid w:val="005B183E"/>
    <w:rsid w:val="005B4DEF"/>
    <w:rsid w:val="005B5108"/>
    <w:rsid w:val="005C063F"/>
    <w:rsid w:val="005C213E"/>
    <w:rsid w:val="005C2861"/>
    <w:rsid w:val="005C34FB"/>
    <w:rsid w:val="005C51B3"/>
    <w:rsid w:val="005C5FA9"/>
    <w:rsid w:val="005C6D31"/>
    <w:rsid w:val="005C6D6B"/>
    <w:rsid w:val="005D0370"/>
    <w:rsid w:val="005D06EA"/>
    <w:rsid w:val="005D0D39"/>
    <w:rsid w:val="005D356A"/>
    <w:rsid w:val="005D4C41"/>
    <w:rsid w:val="005D5486"/>
    <w:rsid w:val="005D5BFC"/>
    <w:rsid w:val="005D61DE"/>
    <w:rsid w:val="005D7C4B"/>
    <w:rsid w:val="005E04C2"/>
    <w:rsid w:val="005E153C"/>
    <w:rsid w:val="005E28F8"/>
    <w:rsid w:val="005E31CB"/>
    <w:rsid w:val="005E3835"/>
    <w:rsid w:val="005E3D1D"/>
    <w:rsid w:val="005E5111"/>
    <w:rsid w:val="005E5E8A"/>
    <w:rsid w:val="005E75E4"/>
    <w:rsid w:val="005F035A"/>
    <w:rsid w:val="005F0EF2"/>
    <w:rsid w:val="005F1D52"/>
    <w:rsid w:val="005F4864"/>
    <w:rsid w:val="006011E5"/>
    <w:rsid w:val="00601C5D"/>
    <w:rsid w:val="00603179"/>
    <w:rsid w:val="00603495"/>
    <w:rsid w:val="00603A27"/>
    <w:rsid w:val="00603B1E"/>
    <w:rsid w:val="00603E35"/>
    <w:rsid w:val="0060582A"/>
    <w:rsid w:val="00605AC8"/>
    <w:rsid w:val="00606988"/>
    <w:rsid w:val="00607224"/>
    <w:rsid w:val="00613129"/>
    <w:rsid w:val="006145F6"/>
    <w:rsid w:val="00621622"/>
    <w:rsid w:val="00622055"/>
    <w:rsid w:val="00622783"/>
    <w:rsid w:val="006234CE"/>
    <w:rsid w:val="00624B5C"/>
    <w:rsid w:val="006261DA"/>
    <w:rsid w:val="006300A5"/>
    <w:rsid w:val="0063128F"/>
    <w:rsid w:val="006326CB"/>
    <w:rsid w:val="0063358D"/>
    <w:rsid w:val="00633648"/>
    <w:rsid w:val="00633785"/>
    <w:rsid w:val="006339FB"/>
    <w:rsid w:val="0063477D"/>
    <w:rsid w:val="00635EEF"/>
    <w:rsid w:val="00636417"/>
    <w:rsid w:val="0063655E"/>
    <w:rsid w:val="00637348"/>
    <w:rsid w:val="00637D70"/>
    <w:rsid w:val="00642899"/>
    <w:rsid w:val="0064325B"/>
    <w:rsid w:val="0064344E"/>
    <w:rsid w:val="00644409"/>
    <w:rsid w:val="006444AA"/>
    <w:rsid w:val="0064461B"/>
    <w:rsid w:val="00644BB9"/>
    <w:rsid w:val="00645716"/>
    <w:rsid w:val="006458CE"/>
    <w:rsid w:val="006462A4"/>
    <w:rsid w:val="00646874"/>
    <w:rsid w:val="00647039"/>
    <w:rsid w:val="00650BFD"/>
    <w:rsid w:val="0065182A"/>
    <w:rsid w:val="00651C95"/>
    <w:rsid w:val="0065200D"/>
    <w:rsid w:val="00652533"/>
    <w:rsid w:val="00653153"/>
    <w:rsid w:val="0065391A"/>
    <w:rsid w:val="00654751"/>
    <w:rsid w:val="00654832"/>
    <w:rsid w:val="00655ED9"/>
    <w:rsid w:val="00657792"/>
    <w:rsid w:val="00657F94"/>
    <w:rsid w:val="00663319"/>
    <w:rsid w:val="00663BF2"/>
    <w:rsid w:val="00663DA3"/>
    <w:rsid w:val="006645AE"/>
    <w:rsid w:val="006665AF"/>
    <w:rsid w:val="0066756E"/>
    <w:rsid w:val="00670160"/>
    <w:rsid w:val="00670AB4"/>
    <w:rsid w:val="00672296"/>
    <w:rsid w:val="006727AB"/>
    <w:rsid w:val="00673E3F"/>
    <w:rsid w:val="00675836"/>
    <w:rsid w:val="0067588C"/>
    <w:rsid w:val="00683C37"/>
    <w:rsid w:val="0068448D"/>
    <w:rsid w:val="006847E0"/>
    <w:rsid w:val="0068482A"/>
    <w:rsid w:val="00684D5D"/>
    <w:rsid w:val="00685729"/>
    <w:rsid w:val="006857E8"/>
    <w:rsid w:val="00685A48"/>
    <w:rsid w:val="0068739F"/>
    <w:rsid w:val="00687B71"/>
    <w:rsid w:val="00690ABF"/>
    <w:rsid w:val="00692899"/>
    <w:rsid w:val="00693E49"/>
    <w:rsid w:val="00694667"/>
    <w:rsid w:val="00694D37"/>
    <w:rsid w:val="006951B1"/>
    <w:rsid w:val="00695B9C"/>
    <w:rsid w:val="006A1058"/>
    <w:rsid w:val="006A1732"/>
    <w:rsid w:val="006A3380"/>
    <w:rsid w:val="006A3D8B"/>
    <w:rsid w:val="006A401C"/>
    <w:rsid w:val="006B08D7"/>
    <w:rsid w:val="006B145E"/>
    <w:rsid w:val="006B1965"/>
    <w:rsid w:val="006B3607"/>
    <w:rsid w:val="006B3F94"/>
    <w:rsid w:val="006B507A"/>
    <w:rsid w:val="006B5BD6"/>
    <w:rsid w:val="006B6518"/>
    <w:rsid w:val="006B6EA3"/>
    <w:rsid w:val="006B7D63"/>
    <w:rsid w:val="006C010C"/>
    <w:rsid w:val="006C02E8"/>
    <w:rsid w:val="006C0462"/>
    <w:rsid w:val="006C0DDC"/>
    <w:rsid w:val="006C2B50"/>
    <w:rsid w:val="006C3C3D"/>
    <w:rsid w:val="006C51B8"/>
    <w:rsid w:val="006C5536"/>
    <w:rsid w:val="006C57ED"/>
    <w:rsid w:val="006C63DF"/>
    <w:rsid w:val="006C793F"/>
    <w:rsid w:val="006D0201"/>
    <w:rsid w:val="006D3691"/>
    <w:rsid w:val="006D5E7C"/>
    <w:rsid w:val="006D6E56"/>
    <w:rsid w:val="006D6EA3"/>
    <w:rsid w:val="006E0289"/>
    <w:rsid w:val="006E2C1F"/>
    <w:rsid w:val="006E3B94"/>
    <w:rsid w:val="006E6E45"/>
    <w:rsid w:val="006E7913"/>
    <w:rsid w:val="006F1480"/>
    <w:rsid w:val="006F2067"/>
    <w:rsid w:val="006F206B"/>
    <w:rsid w:val="006F2797"/>
    <w:rsid w:val="006F2E13"/>
    <w:rsid w:val="006F38E9"/>
    <w:rsid w:val="006F3B01"/>
    <w:rsid w:val="006F4DA8"/>
    <w:rsid w:val="006F5F7E"/>
    <w:rsid w:val="006F6FAF"/>
    <w:rsid w:val="006F71B2"/>
    <w:rsid w:val="00700046"/>
    <w:rsid w:val="00700CAA"/>
    <w:rsid w:val="007013B4"/>
    <w:rsid w:val="007016ED"/>
    <w:rsid w:val="00701785"/>
    <w:rsid w:val="00702820"/>
    <w:rsid w:val="00702956"/>
    <w:rsid w:val="0070493C"/>
    <w:rsid w:val="00705048"/>
    <w:rsid w:val="0070551B"/>
    <w:rsid w:val="0070645A"/>
    <w:rsid w:val="00706F49"/>
    <w:rsid w:val="007072F2"/>
    <w:rsid w:val="00707AED"/>
    <w:rsid w:val="00707B87"/>
    <w:rsid w:val="00707C0B"/>
    <w:rsid w:val="00707C2B"/>
    <w:rsid w:val="0071097D"/>
    <w:rsid w:val="00712D1F"/>
    <w:rsid w:val="00714A11"/>
    <w:rsid w:val="0071597B"/>
    <w:rsid w:val="0071621C"/>
    <w:rsid w:val="00717E39"/>
    <w:rsid w:val="007205E8"/>
    <w:rsid w:val="00721E9F"/>
    <w:rsid w:val="0072201A"/>
    <w:rsid w:val="00722BA0"/>
    <w:rsid w:val="007238F7"/>
    <w:rsid w:val="00724755"/>
    <w:rsid w:val="00725A7D"/>
    <w:rsid w:val="007263B6"/>
    <w:rsid w:val="0073047D"/>
    <w:rsid w:val="00730940"/>
    <w:rsid w:val="00730D2D"/>
    <w:rsid w:val="00730F32"/>
    <w:rsid w:val="00731219"/>
    <w:rsid w:val="00733439"/>
    <w:rsid w:val="00733968"/>
    <w:rsid w:val="00734915"/>
    <w:rsid w:val="0073540A"/>
    <w:rsid w:val="00735C21"/>
    <w:rsid w:val="00740025"/>
    <w:rsid w:val="00740130"/>
    <w:rsid w:val="0074087D"/>
    <w:rsid w:val="00740F2E"/>
    <w:rsid w:val="00741309"/>
    <w:rsid w:val="0074159F"/>
    <w:rsid w:val="00742A56"/>
    <w:rsid w:val="007446E9"/>
    <w:rsid w:val="00745B82"/>
    <w:rsid w:val="00745CEC"/>
    <w:rsid w:val="007463F2"/>
    <w:rsid w:val="00751028"/>
    <w:rsid w:val="00751B80"/>
    <w:rsid w:val="00752A31"/>
    <w:rsid w:val="0075387C"/>
    <w:rsid w:val="00756534"/>
    <w:rsid w:val="007569EE"/>
    <w:rsid w:val="00756F7B"/>
    <w:rsid w:val="00757520"/>
    <w:rsid w:val="00757B82"/>
    <w:rsid w:val="00761F72"/>
    <w:rsid w:val="007623BD"/>
    <w:rsid w:val="00763AFF"/>
    <w:rsid w:val="00763EF5"/>
    <w:rsid w:val="007643F1"/>
    <w:rsid w:val="00765D04"/>
    <w:rsid w:val="00766CE4"/>
    <w:rsid w:val="00767617"/>
    <w:rsid w:val="00767F91"/>
    <w:rsid w:val="00770C0E"/>
    <w:rsid w:val="00772498"/>
    <w:rsid w:val="00774BCF"/>
    <w:rsid w:val="00775E61"/>
    <w:rsid w:val="00776F6E"/>
    <w:rsid w:val="00777894"/>
    <w:rsid w:val="00777D95"/>
    <w:rsid w:val="00777F28"/>
    <w:rsid w:val="00777F9C"/>
    <w:rsid w:val="00780DEF"/>
    <w:rsid w:val="00781A14"/>
    <w:rsid w:val="007836F6"/>
    <w:rsid w:val="00783BDB"/>
    <w:rsid w:val="00784607"/>
    <w:rsid w:val="00787014"/>
    <w:rsid w:val="0079030B"/>
    <w:rsid w:val="00790E83"/>
    <w:rsid w:val="007925C5"/>
    <w:rsid w:val="007927B8"/>
    <w:rsid w:val="007943C7"/>
    <w:rsid w:val="0079610E"/>
    <w:rsid w:val="0079613A"/>
    <w:rsid w:val="00796618"/>
    <w:rsid w:val="00796A69"/>
    <w:rsid w:val="00797A2E"/>
    <w:rsid w:val="007A075E"/>
    <w:rsid w:val="007A1E04"/>
    <w:rsid w:val="007A4DF7"/>
    <w:rsid w:val="007A4EED"/>
    <w:rsid w:val="007A550E"/>
    <w:rsid w:val="007A60C6"/>
    <w:rsid w:val="007A6443"/>
    <w:rsid w:val="007A692D"/>
    <w:rsid w:val="007A727A"/>
    <w:rsid w:val="007A7CBC"/>
    <w:rsid w:val="007B0DA9"/>
    <w:rsid w:val="007B1D77"/>
    <w:rsid w:val="007B2697"/>
    <w:rsid w:val="007B682B"/>
    <w:rsid w:val="007B7D29"/>
    <w:rsid w:val="007B7E4E"/>
    <w:rsid w:val="007C0637"/>
    <w:rsid w:val="007C0A85"/>
    <w:rsid w:val="007C0D4B"/>
    <w:rsid w:val="007C13E3"/>
    <w:rsid w:val="007C1733"/>
    <w:rsid w:val="007C1764"/>
    <w:rsid w:val="007C1C4C"/>
    <w:rsid w:val="007C27B8"/>
    <w:rsid w:val="007C2878"/>
    <w:rsid w:val="007C2D72"/>
    <w:rsid w:val="007C4C7E"/>
    <w:rsid w:val="007C4F1E"/>
    <w:rsid w:val="007C74EB"/>
    <w:rsid w:val="007C7B7C"/>
    <w:rsid w:val="007C7CA6"/>
    <w:rsid w:val="007D25F6"/>
    <w:rsid w:val="007D2B9E"/>
    <w:rsid w:val="007D30B9"/>
    <w:rsid w:val="007D415C"/>
    <w:rsid w:val="007D5191"/>
    <w:rsid w:val="007D68F0"/>
    <w:rsid w:val="007D7E7D"/>
    <w:rsid w:val="007E033B"/>
    <w:rsid w:val="007E0490"/>
    <w:rsid w:val="007E0521"/>
    <w:rsid w:val="007E0DC9"/>
    <w:rsid w:val="007E6793"/>
    <w:rsid w:val="007E6A83"/>
    <w:rsid w:val="007E6CA3"/>
    <w:rsid w:val="007F0304"/>
    <w:rsid w:val="007F144D"/>
    <w:rsid w:val="007F30F6"/>
    <w:rsid w:val="007F3D68"/>
    <w:rsid w:val="007F594C"/>
    <w:rsid w:val="007F5A54"/>
    <w:rsid w:val="007F78F2"/>
    <w:rsid w:val="008004D9"/>
    <w:rsid w:val="008019BB"/>
    <w:rsid w:val="00801AF6"/>
    <w:rsid w:val="008026A6"/>
    <w:rsid w:val="008026D0"/>
    <w:rsid w:val="00804082"/>
    <w:rsid w:val="00804E29"/>
    <w:rsid w:val="00805BC5"/>
    <w:rsid w:val="00807AD0"/>
    <w:rsid w:val="00810704"/>
    <w:rsid w:val="0081156C"/>
    <w:rsid w:val="00811C3F"/>
    <w:rsid w:val="008133E5"/>
    <w:rsid w:val="00813434"/>
    <w:rsid w:val="00813E99"/>
    <w:rsid w:val="008157CF"/>
    <w:rsid w:val="00816874"/>
    <w:rsid w:val="00816969"/>
    <w:rsid w:val="008217C0"/>
    <w:rsid w:val="00821DA1"/>
    <w:rsid w:val="0082208C"/>
    <w:rsid w:val="008220F4"/>
    <w:rsid w:val="00823A64"/>
    <w:rsid w:val="00823DB2"/>
    <w:rsid w:val="00824310"/>
    <w:rsid w:val="00824A8D"/>
    <w:rsid w:val="00824E53"/>
    <w:rsid w:val="00825F06"/>
    <w:rsid w:val="008273D8"/>
    <w:rsid w:val="00830271"/>
    <w:rsid w:val="00831A07"/>
    <w:rsid w:val="00831E54"/>
    <w:rsid w:val="00833324"/>
    <w:rsid w:val="00833E88"/>
    <w:rsid w:val="0083447C"/>
    <w:rsid w:val="00834D31"/>
    <w:rsid w:val="00837BAE"/>
    <w:rsid w:val="00842017"/>
    <w:rsid w:val="00842819"/>
    <w:rsid w:val="00843DC3"/>
    <w:rsid w:val="00847094"/>
    <w:rsid w:val="00847A5A"/>
    <w:rsid w:val="00853EAB"/>
    <w:rsid w:val="008540FE"/>
    <w:rsid w:val="00855E64"/>
    <w:rsid w:val="00856955"/>
    <w:rsid w:val="008576B8"/>
    <w:rsid w:val="0086050D"/>
    <w:rsid w:val="0086129B"/>
    <w:rsid w:val="0086193B"/>
    <w:rsid w:val="00861E7B"/>
    <w:rsid w:val="00862E70"/>
    <w:rsid w:val="008647C8"/>
    <w:rsid w:val="00866765"/>
    <w:rsid w:val="00870530"/>
    <w:rsid w:val="0087107D"/>
    <w:rsid w:val="00871226"/>
    <w:rsid w:val="008732BE"/>
    <w:rsid w:val="00874223"/>
    <w:rsid w:val="0087465D"/>
    <w:rsid w:val="008752EE"/>
    <w:rsid w:val="008758B7"/>
    <w:rsid w:val="00875E7D"/>
    <w:rsid w:val="008763E9"/>
    <w:rsid w:val="008803B3"/>
    <w:rsid w:val="008803D6"/>
    <w:rsid w:val="008807D4"/>
    <w:rsid w:val="00880B1F"/>
    <w:rsid w:val="00880BB2"/>
    <w:rsid w:val="00880CA3"/>
    <w:rsid w:val="0088224B"/>
    <w:rsid w:val="00882FA4"/>
    <w:rsid w:val="00883547"/>
    <w:rsid w:val="00883C52"/>
    <w:rsid w:val="008840D7"/>
    <w:rsid w:val="00885383"/>
    <w:rsid w:val="008856EA"/>
    <w:rsid w:val="00885C2E"/>
    <w:rsid w:val="00885DDE"/>
    <w:rsid w:val="00885F3D"/>
    <w:rsid w:val="00886A36"/>
    <w:rsid w:val="008879F8"/>
    <w:rsid w:val="00891DAC"/>
    <w:rsid w:val="008927C4"/>
    <w:rsid w:val="00893FFF"/>
    <w:rsid w:val="00894373"/>
    <w:rsid w:val="00894C0F"/>
    <w:rsid w:val="008952E3"/>
    <w:rsid w:val="008953E3"/>
    <w:rsid w:val="008956E6"/>
    <w:rsid w:val="00895B1B"/>
    <w:rsid w:val="008962F3"/>
    <w:rsid w:val="008965D2"/>
    <w:rsid w:val="008969F6"/>
    <w:rsid w:val="00897770"/>
    <w:rsid w:val="008A008E"/>
    <w:rsid w:val="008A0C42"/>
    <w:rsid w:val="008A2AAD"/>
    <w:rsid w:val="008A2EA9"/>
    <w:rsid w:val="008A39D2"/>
    <w:rsid w:val="008A44DC"/>
    <w:rsid w:val="008A5A0D"/>
    <w:rsid w:val="008A6731"/>
    <w:rsid w:val="008A6F10"/>
    <w:rsid w:val="008B0239"/>
    <w:rsid w:val="008B20F4"/>
    <w:rsid w:val="008B286B"/>
    <w:rsid w:val="008B40B6"/>
    <w:rsid w:val="008B62ED"/>
    <w:rsid w:val="008B6B94"/>
    <w:rsid w:val="008B78FD"/>
    <w:rsid w:val="008C0BD7"/>
    <w:rsid w:val="008C13DB"/>
    <w:rsid w:val="008C205B"/>
    <w:rsid w:val="008C3140"/>
    <w:rsid w:val="008C33FB"/>
    <w:rsid w:val="008C4AAC"/>
    <w:rsid w:val="008D048F"/>
    <w:rsid w:val="008D0A60"/>
    <w:rsid w:val="008D272C"/>
    <w:rsid w:val="008D3EB7"/>
    <w:rsid w:val="008D55D8"/>
    <w:rsid w:val="008D578F"/>
    <w:rsid w:val="008D57AE"/>
    <w:rsid w:val="008D66C6"/>
    <w:rsid w:val="008E23BE"/>
    <w:rsid w:val="008E65A9"/>
    <w:rsid w:val="008F0139"/>
    <w:rsid w:val="008F112D"/>
    <w:rsid w:val="008F3B89"/>
    <w:rsid w:val="008F4640"/>
    <w:rsid w:val="008F6A97"/>
    <w:rsid w:val="008F6B50"/>
    <w:rsid w:val="008F734C"/>
    <w:rsid w:val="0090005C"/>
    <w:rsid w:val="00900BAB"/>
    <w:rsid w:val="009016B0"/>
    <w:rsid w:val="00901A18"/>
    <w:rsid w:val="00902011"/>
    <w:rsid w:val="00902FCF"/>
    <w:rsid w:val="00903A12"/>
    <w:rsid w:val="009041FF"/>
    <w:rsid w:val="0090628C"/>
    <w:rsid w:val="009071FD"/>
    <w:rsid w:val="00910996"/>
    <w:rsid w:val="009112FF"/>
    <w:rsid w:val="00913BB7"/>
    <w:rsid w:val="00915C4A"/>
    <w:rsid w:val="00920028"/>
    <w:rsid w:val="009226DD"/>
    <w:rsid w:val="00922FC4"/>
    <w:rsid w:val="00923038"/>
    <w:rsid w:val="00923971"/>
    <w:rsid w:val="00924536"/>
    <w:rsid w:val="00924CEA"/>
    <w:rsid w:val="009262BD"/>
    <w:rsid w:val="009266EE"/>
    <w:rsid w:val="00927762"/>
    <w:rsid w:val="009302BC"/>
    <w:rsid w:val="009335F1"/>
    <w:rsid w:val="00934205"/>
    <w:rsid w:val="00934D28"/>
    <w:rsid w:val="0093650A"/>
    <w:rsid w:val="00937AE8"/>
    <w:rsid w:val="009402F1"/>
    <w:rsid w:val="00943036"/>
    <w:rsid w:val="00943FC4"/>
    <w:rsid w:val="009442DF"/>
    <w:rsid w:val="00946136"/>
    <w:rsid w:val="00953CC1"/>
    <w:rsid w:val="0095539B"/>
    <w:rsid w:val="00955757"/>
    <w:rsid w:val="0096006E"/>
    <w:rsid w:val="00961A8C"/>
    <w:rsid w:val="009625B3"/>
    <w:rsid w:val="0096667A"/>
    <w:rsid w:val="00966A3B"/>
    <w:rsid w:val="0096714D"/>
    <w:rsid w:val="00970419"/>
    <w:rsid w:val="00970DEE"/>
    <w:rsid w:val="00972A5C"/>
    <w:rsid w:val="00972E35"/>
    <w:rsid w:val="00973FD5"/>
    <w:rsid w:val="00976EAA"/>
    <w:rsid w:val="0098036C"/>
    <w:rsid w:val="00980533"/>
    <w:rsid w:val="0098067A"/>
    <w:rsid w:val="009818F6"/>
    <w:rsid w:val="00981A2A"/>
    <w:rsid w:val="00982F2A"/>
    <w:rsid w:val="00986116"/>
    <w:rsid w:val="00986B44"/>
    <w:rsid w:val="00991146"/>
    <w:rsid w:val="009915B0"/>
    <w:rsid w:val="009922EB"/>
    <w:rsid w:val="00992F21"/>
    <w:rsid w:val="00993973"/>
    <w:rsid w:val="00994EB0"/>
    <w:rsid w:val="009950DF"/>
    <w:rsid w:val="009956BA"/>
    <w:rsid w:val="00995B50"/>
    <w:rsid w:val="009A04D4"/>
    <w:rsid w:val="009A1251"/>
    <w:rsid w:val="009A43EE"/>
    <w:rsid w:val="009A6EAD"/>
    <w:rsid w:val="009B23BA"/>
    <w:rsid w:val="009B2B58"/>
    <w:rsid w:val="009B2B95"/>
    <w:rsid w:val="009B4081"/>
    <w:rsid w:val="009B423B"/>
    <w:rsid w:val="009B4499"/>
    <w:rsid w:val="009B50FA"/>
    <w:rsid w:val="009B54AA"/>
    <w:rsid w:val="009B5523"/>
    <w:rsid w:val="009B6E0F"/>
    <w:rsid w:val="009C32EB"/>
    <w:rsid w:val="009C3823"/>
    <w:rsid w:val="009C3EB0"/>
    <w:rsid w:val="009C4A32"/>
    <w:rsid w:val="009C5951"/>
    <w:rsid w:val="009C5E51"/>
    <w:rsid w:val="009C5EBE"/>
    <w:rsid w:val="009C64A5"/>
    <w:rsid w:val="009D04EB"/>
    <w:rsid w:val="009D46EF"/>
    <w:rsid w:val="009D4BD0"/>
    <w:rsid w:val="009D6FAC"/>
    <w:rsid w:val="009E1452"/>
    <w:rsid w:val="009E20DE"/>
    <w:rsid w:val="009E2208"/>
    <w:rsid w:val="009E228A"/>
    <w:rsid w:val="009E2CD1"/>
    <w:rsid w:val="009E2F72"/>
    <w:rsid w:val="009E3192"/>
    <w:rsid w:val="009E3962"/>
    <w:rsid w:val="009E483D"/>
    <w:rsid w:val="009E5A96"/>
    <w:rsid w:val="009E68E1"/>
    <w:rsid w:val="009F10A1"/>
    <w:rsid w:val="009F16B6"/>
    <w:rsid w:val="009F183E"/>
    <w:rsid w:val="009F2754"/>
    <w:rsid w:val="009F3970"/>
    <w:rsid w:val="00A00A5E"/>
    <w:rsid w:val="00A0151B"/>
    <w:rsid w:val="00A01788"/>
    <w:rsid w:val="00A01E24"/>
    <w:rsid w:val="00A01E3C"/>
    <w:rsid w:val="00A02685"/>
    <w:rsid w:val="00A04C92"/>
    <w:rsid w:val="00A079A0"/>
    <w:rsid w:val="00A07EBE"/>
    <w:rsid w:val="00A10510"/>
    <w:rsid w:val="00A10E3B"/>
    <w:rsid w:val="00A1108B"/>
    <w:rsid w:val="00A11E4E"/>
    <w:rsid w:val="00A12676"/>
    <w:rsid w:val="00A16DCC"/>
    <w:rsid w:val="00A209B9"/>
    <w:rsid w:val="00A217C4"/>
    <w:rsid w:val="00A21950"/>
    <w:rsid w:val="00A21BFF"/>
    <w:rsid w:val="00A228BC"/>
    <w:rsid w:val="00A23EFF"/>
    <w:rsid w:val="00A2556F"/>
    <w:rsid w:val="00A26913"/>
    <w:rsid w:val="00A26E88"/>
    <w:rsid w:val="00A27034"/>
    <w:rsid w:val="00A30194"/>
    <w:rsid w:val="00A314F2"/>
    <w:rsid w:val="00A318A6"/>
    <w:rsid w:val="00A31C8A"/>
    <w:rsid w:val="00A3277C"/>
    <w:rsid w:val="00A34404"/>
    <w:rsid w:val="00A3480F"/>
    <w:rsid w:val="00A34B48"/>
    <w:rsid w:val="00A3552A"/>
    <w:rsid w:val="00A35F47"/>
    <w:rsid w:val="00A36EAE"/>
    <w:rsid w:val="00A42EF1"/>
    <w:rsid w:val="00A43E62"/>
    <w:rsid w:val="00A454DB"/>
    <w:rsid w:val="00A46771"/>
    <w:rsid w:val="00A47848"/>
    <w:rsid w:val="00A503DF"/>
    <w:rsid w:val="00A50AFB"/>
    <w:rsid w:val="00A511A8"/>
    <w:rsid w:val="00A51952"/>
    <w:rsid w:val="00A52524"/>
    <w:rsid w:val="00A52DDA"/>
    <w:rsid w:val="00A54070"/>
    <w:rsid w:val="00A552C9"/>
    <w:rsid w:val="00A56244"/>
    <w:rsid w:val="00A57E94"/>
    <w:rsid w:val="00A6105F"/>
    <w:rsid w:val="00A6140B"/>
    <w:rsid w:val="00A618C6"/>
    <w:rsid w:val="00A6323B"/>
    <w:rsid w:val="00A66E7F"/>
    <w:rsid w:val="00A66EF9"/>
    <w:rsid w:val="00A67FE6"/>
    <w:rsid w:val="00A71492"/>
    <w:rsid w:val="00A7199D"/>
    <w:rsid w:val="00A72059"/>
    <w:rsid w:val="00A72692"/>
    <w:rsid w:val="00A73668"/>
    <w:rsid w:val="00A73E8D"/>
    <w:rsid w:val="00A74E61"/>
    <w:rsid w:val="00A75157"/>
    <w:rsid w:val="00A77BE8"/>
    <w:rsid w:val="00A8044A"/>
    <w:rsid w:val="00A80DC5"/>
    <w:rsid w:val="00A815D3"/>
    <w:rsid w:val="00A81A70"/>
    <w:rsid w:val="00A81D35"/>
    <w:rsid w:val="00A8389E"/>
    <w:rsid w:val="00A84797"/>
    <w:rsid w:val="00A8493B"/>
    <w:rsid w:val="00A851DB"/>
    <w:rsid w:val="00A857F2"/>
    <w:rsid w:val="00A86DD7"/>
    <w:rsid w:val="00A86DFD"/>
    <w:rsid w:val="00A908A0"/>
    <w:rsid w:val="00A91A7F"/>
    <w:rsid w:val="00A92179"/>
    <w:rsid w:val="00A93157"/>
    <w:rsid w:val="00A95B90"/>
    <w:rsid w:val="00A974FC"/>
    <w:rsid w:val="00A97F6C"/>
    <w:rsid w:val="00A97FAC"/>
    <w:rsid w:val="00AA01B3"/>
    <w:rsid w:val="00AA0DD4"/>
    <w:rsid w:val="00AA294D"/>
    <w:rsid w:val="00AA3285"/>
    <w:rsid w:val="00AA39B7"/>
    <w:rsid w:val="00AA6234"/>
    <w:rsid w:val="00AA6906"/>
    <w:rsid w:val="00AA73FE"/>
    <w:rsid w:val="00AA7950"/>
    <w:rsid w:val="00AA7C8E"/>
    <w:rsid w:val="00AB1273"/>
    <w:rsid w:val="00AB16F0"/>
    <w:rsid w:val="00AB1F86"/>
    <w:rsid w:val="00AB2C16"/>
    <w:rsid w:val="00AB3A6C"/>
    <w:rsid w:val="00AB508F"/>
    <w:rsid w:val="00AB7EF1"/>
    <w:rsid w:val="00AC05C8"/>
    <w:rsid w:val="00AC092A"/>
    <w:rsid w:val="00AC120D"/>
    <w:rsid w:val="00AC1DBC"/>
    <w:rsid w:val="00AC2445"/>
    <w:rsid w:val="00AC2D28"/>
    <w:rsid w:val="00AC2DDC"/>
    <w:rsid w:val="00AC3D5B"/>
    <w:rsid w:val="00AC3FE2"/>
    <w:rsid w:val="00AC4100"/>
    <w:rsid w:val="00AC4B04"/>
    <w:rsid w:val="00AC5494"/>
    <w:rsid w:val="00AC557D"/>
    <w:rsid w:val="00AC55D9"/>
    <w:rsid w:val="00AC6E50"/>
    <w:rsid w:val="00AC6F17"/>
    <w:rsid w:val="00AC74F8"/>
    <w:rsid w:val="00AC7A54"/>
    <w:rsid w:val="00AC7F9B"/>
    <w:rsid w:val="00AD0074"/>
    <w:rsid w:val="00AD3D25"/>
    <w:rsid w:val="00AD575E"/>
    <w:rsid w:val="00AD5A3D"/>
    <w:rsid w:val="00AD5D68"/>
    <w:rsid w:val="00AD731F"/>
    <w:rsid w:val="00AD739F"/>
    <w:rsid w:val="00AD7802"/>
    <w:rsid w:val="00AE1454"/>
    <w:rsid w:val="00AE18CB"/>
    <w:rsid w:val="00AE1AA2"/>
    <w:rsid w:val="00AE42F0"/>
    <w:rsid w:val="00AE4AAA"/>
    <w:rsid w:val="00AE528F"/>
    <w:rsid w:val="00AE6762"/>
    <w:rsid w:val="00AE733E"/>
    <w:rsid w:val="00AF208C"/>
    <w:rsid w:val="00AF33E5"/>
    <w:rsid w:val="00AF3E50"/>
    <w:rsid w:val="00AF5ABD"/>
    <w:rsid w:val="00AF5E48"/>
    <w:rsid w:val="00AF5FC6"/>
    <w:rsid w:val="00AF7253"/>
    <w:rsid w:val="00B00031"/>
    <w:rsid w:val="00B01B79"/>
    <w:rsid w:val="00B02A29"/>
    <w:rsid w:val="00B02C09"/>
    <w:rsid w:val="00B03117"/>
    <w:rsid w:val="00B04329"/>
    <w:rsid w:val="00B04702"/>
    <w:rsid w:val="00B0555E"/>
    <w:rsid w:val="00B06237"/>
    <w:rsid w:val="00B07671"/>
    <w:rsid w:val="00B07D3C"/>
    <w:rsid w:val="00B14422"/>
    <w:rsid w:val="00B14AD1"/>
    <w:rsid w:val="00B16253"/>
    <w:rsid w:val="00B16FEC"/>
    <w:rsid w:val="00B22368"/>
    <w:rsid w:val="00B25977"/>
    <w:rsid w:val="00B25A02"/>
    <w:rsid w:val="00B25C6B"/>
    <w:rsid w:val="00B26A48"/>
    <w:rsid w:val="00B309AB"/>
    <w:rsid w:val="00B31DCC"/>
    <w:rsid w:val="00B34BDD"/>
    <w:rsid w:val="00B355B9"/>
    <w:rsid w:val="00B35843"/>
    <w:rsid w:val="00B3687C"/>
    <w:rsid w:val="00B370AB"/>
    <w:rsid w:val="00B40BF0"/>
    <w:rsid w:val="00B41D6A"/>
    <w:rsid w:val="00B42698"/>
    <w:rsid w:val="00B43051"/>
    <w:rsid w:val="00B4561F"/>
    <w:rsid w:val="00B46406"/>
    <w:rsid w:val="00B50613"/>
    <w:rsid w:val="00B5062D"/>
    <w:rsid w:val="00B5086C"/>
    <w:rsid w:val="00B50C37"/>
    <w:rsid w:val="00B518D4"/>
    <w:rsid w:val="00B53A34"/>
    <w:rsid w:val="00B54634"/>
    <w:rsid w:val="00B54752"/>
    <w:rsid w:val="00B55EEE"/>
    <w:rsid w:val="00B60354"/>
    <w:rsid w:val="00B6081F"/>
    <w:rsid w:val="00B620D6"/>
    <w:rsid w:val="00B62183"/>
    <w:rsid w:val="00B6229C"/>
    <w:rsid w:val="00B625F5"/>
    <w:rsid w:val="00B62B1C"/>
    <w:rsid w:val="00B63957"/>
    <w:rsid w:val="00B63E31"/>
    <w:rsid w:val="00B63F59"/>
    <w:rsid w:val="00B64BDC"/>
    <w:rsid w:val="00B656D8"/>
    <w:rsid w:val="00B708F2"/>
    <w:rsid w:val="00B71689"/>
    <w:rsid w:val="00B71DD8"/>
    <w:rsid w:val="00B72A04"/>
    <w:rsid w:val="00B72A2F"/>
    <w:rsid w:val="00B730AC"/>
    <w:rsid w:val="00B74168"/>
    <w:rsid w:val="00B77B57"/>
    <w:rsid w:val="00B77B98"/>
    <w:rsid w:val="00B80912"/>
    <w:rsid w:val="00B81059"/>
    <w:rsid w:val="00B83226"/>
    <w:rsid w:val="00B832FC"/>
    <w:rsid w:val="00B840E8"/>
    <w:rsid w:val="00B84527"/>
    <w:rsid w:val="00B875E2"/>
    <w:rsid w:val="00B90E38"/>
    <w:rsid w:val="00B91551"/>
    <w:rsid w:val="00B9255E"/>
    <w:rsid w:val="00B926DB"/>
    <w:rsid w:val="00B94C74"/>
    <w:rsid w:val="00B95A92"/>
    <w:rsid w:val="00B95FC5"/>
    <w:rsid w:val="00B966F5"/>
    <w:rsid w:val="00B96F68"/>
    <w:rsid w:val="00BA04F0"/>
    <w:rsid w:val="00BA08F9"/>
    <w:rsid w:val="00BA10BA"/>
    <w:rsid w:val="00BA15AB"/>
    <w:rsid w:val="00BA20A3"/>
    <w:rsid w:val="00BA2C92"/>
    <w:rsid w:val="00BA3A6E"/>
    <w:rsid w:val="00BA52B9"/>
    <w:rsid w:val="00BA63EC"/>
    <w:rsid w:val="00BA6F60"/>
    <w:rsid w:val="00BB32D4"/>
    <w:rsid w:val="00BB361A"/>
    <w:rsid w:val="00BB39D8"/>
    <w:rsid w:val="00BB7936"/>
    <w:rsid w:val="00BC0B79"/>
    <w:rsid w:val="00BC0CB1"/>
    <w:rsid w:val="00BC10AD"/>
    <w:rsid w:val="00BC2897"/>
    <w:rsid w:val="00BC6938"/>
    <w:rsid w:val="00BC7E30"/>
    <w:rsid w:val="00BD0C05"/>
    <w:rsid w:val="00BD3578"/>
    <w:rsid w:val="00BD7438"/>
    <w:rsid w:val="00BE015A"/>
    <w:rsid w:val="00BE2CDB"/>
    <w:rsid w:val="00BE4C7D"/>
    <w:rsid w:val="00BF0C5F"/>
    <w:rsid w:val="00BF3621"/>
    <w:rsid w:val="00BF5965"/>
    <w:rsid w:val="00BF707F"/>
    <w:rsid w:val="00BF74BC"/>
    <w:rsid w:val="00BF7A94"/>
    <w:rsid w:val="00C00593"/>
    <w:rsid w:val="00C00E04"/>
    <w:rsid w:val="00C022E8"/>
    <w:rsid w:val="00C023F8"/>
    <w:rsid w:val="00C026C5"/>
    <w:rsid w:val="00C03959"/>
    <w:rsid w:val="00C03EE5"/>
    <w:rsid w:val="00C04578"/>
    <w:rsid w:val="00C061B1"/>
    <w:rsid w:val="00C071C6"/>
    <w:rsid w:val="00C07C54"/>
    <w:rsid w:val="00C07D54"/>
    <w:rsid w:val="00C10BB6"/>
    <w:rsid w:val="00C11176"/>
    <w:rsid w:val="00C11AD9"/>
    <w:rsid w:val="00C12BE9"/>
    <w:rsid w:val="00C14023"/>
    <w:rsid w:val="00C14D47"/>
    <w:rsid w:val="00C14EB1"/>
    <w:rsid w:val="00C1560C"/>
    <w:rsid w:val="00C168EC"/>
    <w:rsid w:val="00C16A57"/>
    <w:rsid w:val="00C17258"/>
    <w:rsid w:val="00C219C0"/>
    <w:rsid w:val="00C22113"/>
    <w:rsid w:val="00C22424"/>
    <w:rsid w:val="00C24296"/>
    <w:rsid w:val="00C248DE"/>
    <w:rsid w:val="00C24A26"/>
    <w:rsid w:val="00C2531D"/>
    <w:rsid w:val="00C2705C"/>
    <w:rsid w:val="00C270A0"/>
    <w:rsid w:val="00C271B8"/>
    <w:rsid w:val="00C304F5"/>
    <w:rsid w:val="00C32052"/>
    <w:rsid w:val="00C32633"/>
    <w:rsid w:val="00C3273B"/>
    <w:rsid w:val="00C32DA1"/>
    <w:rsid w:val="00C339D1"/>
    <w:rsid w:val="00C3502F"/>
    <w:rsid w:val="00C35082"/>
    <w:rsid w:val="00C43F59"/>
    <w:rsid w:val="00C45BDF"/>
    <w:rsid w:val="00C4677F"/>
    <w:rsid w:val="00C50B2E"/>
    <w:rsid w:val="00C50F49"/>
    <w:rsid w:val="00C51EBE"/>
    <w:rsid w:val="00C51FDE"/>
    <w:rsid w:val="00C54F13"/>
    <w:rsid w:val="00C57542"/>
    <w:rsid w:val="00C5760A"/>
    <w:rsid w:val="00C57D1E"/>
    <w:rsid w:val="00C616DA"/>
    <w:rsid w:val="00C632D3"/>
    <w:rsid w:val="00C63CB7"/>
    <w:rsid w:val="00C640FD"/>
    <w:rsid w:val="00C649C8"/>
    <w:rsid w:val="00C668B5"/>
    <w:rsid w:val="00C66B9C"/>
    <w:rsid w:val="00C6744E"/>
    <w:rsid w:val="00C70DA9"/>
    <w:rsid w:val="00C7132D"/>
    <w:rsid w:val="00C7136A"/>
    <w:rsid w:val="00C71938"/>
    <w:rsid w:val="00C71F78"/>
    <w:rsid w:val="00C72FBB"/>
    <w:rsid w:val="00C73DB5"/>
    <w:rsid w:val="00C77B15"/>
    <w:rsid w:val="00C80270"/>
    <w:rsid w:val="00C825B7"/>
    <w:rsid w:val="00C82849"/>
    <w:rsid w:val="00C841D2"/>
    <w:rsid w:val="00C849CA"/>
    <w:rsid w:val="00C84DCA"/>
    <w:rsid w:val="00C871BD"/>
    <w:rsid w:val="00C909B4"/>
    <w:rsid w:val="00C91D96"/>
    <w:rsid w:val="00C927EE"/>
    <w:rsid w:val="00C93398"/>
    <w:rsid w:val="00C95434"/>
    <w:rsid w:val="00C96274"/>
    <w:rsid w:val="00C96F63"/>
    <w:rsid w:val="00C97C23"/>
    <w:rsid w:val="00CA1319"/>
    <w:rsid w:val="00CA13FE"/>
    <w:rsid w:val="00CA3041"/>
    <w:rsid w:val="00CA55FD"/>
    <w:rsid w:val="00CB12C8"/>
    <w:rsid w:val="00CB2302"/>
    <w:rsid w:val="00CB2CD7"/>
    <w:rsid w:val="00CB2D61"/>
    <w:rsid w:val="00CB319B"/>
    <w:rsid w:val="00CB4890"/>
    <w:rsid w:val="00CB689B"/>
    <w:rsid w:val="00CB7075"/>
    <w:rsid w:val="00CC053E"/>
    <w:rsid w:val="00CC1ACD"/>
    <w:rsid w:val="00CC2677"/>
    <w:rsid w:val="00CC2B81"/>
    <w:rsid w:val="00CC30F6"/>
    <w:rsid w:val="00CC32CB"/>
    <w:rsid w:val="00CC33C3"/>
    <w:rsid w:val="00CC345C"/>
    <w:rsid w:val="00CC3BCD"/>
    <w:rsid w:val="00CC3EBA"/>
    <w:rsid w:val="00CC3FAA"/>
    <w:rsid w:val="00CC592A"/>
    <w:rsid w:val="00CC63B0"/>
    <w:rsid w:val="00CD073B"/>
    <w:rsid w:val="00CD092F"/>
    <w:rsid w:val="00CD17D4"/>
    <w:rsid w:val="00CD1C4E"/>
    <w:rsid w:val="00CD1E5F"/>
    <w:rsid w:val="00CD368C"/>
    <w:rsid w:val="00CD401B"/>
    <w:rsid w:val="00CD4835"/>
    <w:rsid w:val="00CD5342"/>
    <w:rsid w:val="00CD5401"/>
    <w:rsid w:val="00CD7081"/>
    <w:rsid w:val="00CD7807"/>
    <w:rsid w:val="00CE1E92"/>
    <w:rsid w:val="00CE26C4"/>
    <w:rsid w:val="00CE686D"/>
    <w:rsid w:val="00CE69EF"/>
    <w:rsid w:val="00CE6FCC"/>
    <w:rsid w:val="00CF015A"/>
    <w:rsid w:val="00CF05E2"/>
    <w:rsid w:val="00CF13E7"/>
    <w:rsid w:val="00CF200F"/>
    <w:rsid w:val="00CF2338"/>
    <w:rsid w:val="00CF2470"/>
    <w:rsid w:val="00CF35A4"/>
    <w:rsid w:val="00CF35B0"/>
    <w:rsid w:val="00CF46DF"/>
    <w:rsid w:val="00CF52A8"/>
    <w:rsid w:val="00CF5497"/>
    <w:rsid w:val="00CF5E65"/>
    <w:rsid w:val="00CF6F59"/>
    <w:rsid w:val="00CF7583"/>
    <w:rsid w:val="00CF7C88"/>
    <w:rsid w:val="00D0090A"/>
    <w:rsid w:val="00D01194"/>
    <w:rsid w:val="00D03967"/>
    <w:rsid w:val="00D03E27"/>
    <w:rsid w:val="00D0400F"/>
    <w:rsid w:val="00D04233"/>
    <w:rsid w:val="00D06CAC"/>
    <w:rsid w:val="00D10E5B"/>
    <w:rsid w:val="00D11389"/>
    <w:rsid w:val="00D119B1"/>
    <w:rsid w:val="00D11C80"/>
    <w:rsid w:val="00D12FCA"/>
    <w:rsid w:val="00D13C8A"/>
    <w:rsid w:val="00D1513C"/>
    <w:rsid w:val="00D162BC"/>
    <w:rsid w:val="00D168CC"/>
    <w:rsid w:val="00D16E24"/>
    <w:rsid w:val="00D173AF"/>
    <w:rsid w:val="00D2009B"/>
    <w:rsid w:val="00D200DD"/>
    <w:rsid w:val="00D20421"/>
    <w:rsid w:val="00D20DC0"/>
    <w:rsid w:val="00D21418"/>
    <w:rsid w:val="00D21AE9"/>
    <w:rsid w:val="00D240AB"/>
    <w:rsid w:val="00D320D4"/>
    <w:rsid w:val="00D32682"/>
    <w:rsid w:val="00D33BBC"/>
    <w:rsid w:val="00D34076"/>
    <w:rsid w:val="00D3428D"/>
    <w:rsid w:val="00D3441D"/>
    <w:rsid w:val="00D34482"/>
    <w:rsid w:val="00D34C4E"/>
    <w:rsid w:val="00D35249"/>
    <w:rsid w:val="00D35417"/>
    <w:rsid w:val="00D35E2B"/>
    <w:rsid w:val="00D36316"/>
    <w:rsid w:val="00D366BE"/>
    <w:rsid w:val="00D36C19"/>
    <w:rsid w:val="00D416B0"/>
    <w:rsid w:val="00D41BC2"/>
    <w:rsid w:val="00D42742"/>
    <w:rsid w:val="00D52E7E"/>
    <w:rsid w:val="00D53615"/>
    <w:rsid w:val="00D5480E"/>
    <w:rsid w:val="00D570FE"/>
    <w:rsid w:val="00D60EE7"/>
    <w:rsid w:val="00D6516E"/>
    <w:rsid w:val="00D65FA7"/>
    <w:rsid w:val="00D67159"/>
    <w:rsid w:val="00D702B3"/>
    <w:rsid w:val="00D70D9B"/>
    <w:rsid w:val="00D7104E"/>
    <w:rsid w:val="00D71EE4"/>
    <w:rsid w:val="00D723D6"/>
    <w:rsid w:val="00D72865"/>
    <w:rsid w:val="00D736CC"/>
    <w:rsid w:val="00D740A0"/>
    <w:rsid w:val="00D7421B"/>
    <w:rsid w:val="00D74923"/>
    <w:rsid w:val="00D74954"/>
    <w:rsid w:val="00D7562B"/>
    <w:rsid w:val="00D75CD2"/>
    <w:rsid w:val="00D776D1"/>
    <w:rsid w:val="00D77BA9"/>
    <w:rsid w:val="00D80101"/>
    <w:rsid w:val="00D8111F"/>
    <w:rsid w:val="00D813C1"/>
    <w:rsid w:val="00D820B8"/>
    <w:rsid w:val="00D82549"/>
    <w:rsid w:val="00D8268D"/>
    <w:rsid w:val="00D827C6"/>
    <w:rsid w:val="00D832FC"/>
    <w:rsid w:val="00D83B46"/>
    <w:rsid w:val="00D83C01"/>
    <w:rsid w:val="00D859A6"/>
    <w:rsid w:val="00D85EEB"/>
    <w:rsid w:val="00D86B4A"/>
    <w:rsid w:val="00D90C1B"/>
    <w:rsid w:val="00D90F06"/>
    <w:rsid w:val="00D91BFC"/>
    <w:rsid w:val="00D91C4D"/>
    <w:rsid w:val="00D94590"/>
    <w:rsid w:val="00D958F3"/>
    <w:rsid w:val="00D95DB0"/>
    <w:rsid w:val="00D95F5C"/>
    <w:rsid w:val="00DA127A"/>
    <w:rsid w:val="00DA1A7C"/>
    <w:rsid w:val="00DA1C26"/>
    <w:rsid w:val="00DA1F7A"/>
    <w:rsid w:val="00DA322F"/>
    <w:rsid w:val="00DA438F"/>
    <w:rsid w:val="00DA5BD5"/>
    <w:rsid w:val="00DA6506"/>
    <w:rsid w:val="00DA6B22"/>
    <w:rsid w:val="00DB1C0E"/>
    <w:rsid w:val="00DB2703"/>
    <w:rsid w:val="00DB2D00"/>
    <w:rsid w:val="00DB3C6D"/>
    <w:rsid w:val="00DB50F2"/>
    <w:rsid w:val="00DB574E"/>
    <w:rsid w:val="00DB5E6C"/>
    <w:rsid w:val="00DB6915"/>
    <w:rsid w:val="00DC13CD"/>
    <w:rsid w:val="00DC22EC"/>
    <w:rsid w:val="00DC2DD8"/>
    <w:rsid w:val="00DC2E58"/>
    <w:rsid w:val="00DC4171"/>
    <w:rsid w:val="00DC601D"/>
    <w:rsid w:val="00DD09B6"/>
    <w:rsid w:val="00DD2299"/>
    <w:rsid w:val="00DD22D8"/>
    <w:rsid w:val="00DD3DED"/>
    <w:rsid w:val="00DD49E8"/>
    <w:rsid w:val="00DD4E36"/>
    <w:rsid w:val="00DD73C5"/>
    <w:rsid w:val="00DE08F0"/>
    <w:rsid w:val="00DE15D9"/>
    <w:rsid w:val="00DE1680"/>
    <w:rsid w:val="00DE2777"/>
    <w:rsid w:val="00DE29EC"/>
    <w:rsid w:val="00DE30A0"/>
    <w:rsid w:val="00DE5D87"/>
    <w:rsid w:val="00DE6B68"/>
    <w:rsid w:val="00DF0F1D"/>
    <w:rsid w:val="00DF34B4"/>
    <w:rsid w:val="00DF4765"/>
    <w:rsid w:val="00DF4976"/>
    <w:rsid w:val="00DF4ACD"/>
    <w:rsid w:val="00DF4BC6"/>
    <w:rsid w:val="00E013F9"/>
    <w:rsid w:val="00E014D1"/>
    <w:rsid w:val="00E02B3F"/>
    <w:rsid w:val="00E02CD0"/>
    <w:rsid w:val="00E06F94"/>
    <w:rsid w:val="00E07717"/>
    <w:rsid w:val="00E07AD4"/>
    <w:rsid w:val="00E1005A"/>
    <w:rsid w:val="00E10088"/>
    <w:rsid w:val="00E104B3"/>
    <w:rsid w:val="00E14A6C"/>
    <w:rsid w:val="00E14FE3"/>
    <w:rsid w:val="00E1594A"/>
    <w:rsid w:val="00E15B4C"/>
    <w:rsid w:val="00E166D3"/>
    <w:rsid w:val="00E176AC"/>
    <w:rsid w:val="00E20662"/>
    <w:rsid w:val="00E24A5F"/>
    <w:rsid w:val="00E25CB1"/>
    <w:rsid w:val="00E27245"/>
    <w:rsid w:val="00E31A85"/>
    <w:rsid w:val="00E327D4"/>
    <w:rsid w:val="00E3284F"/>
    <w:rsid w:val="00E32ADC"/>
    <w:rsid w:val="00E3345A"/>
    <w:rsid w:val="00E34087"/>
    <w:rsid w:val="00E34285"/>
    <w:rsid w:val="00E3428E"/>
    <w:rsid w:val="00E355AA"/>
    <w:rsid w:val="00E36B3A"/>
    <w:rsid w:val="00E37EC1"/>
    <w:rsid w:val="00E41662"/>
    <w:rsid w:val="00E426C2"/>
    <w:rsid w:val="00E42A11"/>
    <w:rsid w:val="00E42F18"/>
    <w:rsid w:val="00E43A50"/>
    <w:rsid w:val="00E43C39"/>
    <w:rsid w:val="00E43DE1"/>
    <w:rsid w:val="00E461FF"/>
    <w:rsid w:val="00E47CC8"/>
    <w:rsid w:val="00E57915"/>
    <w:rsid w:val="00E57F58"/>
    <w:rsid w:val="00E63893"/>
    <w:rsid w:val="00E64393"/>
    <w:rsid w:val="00E64F44"/>
    <w:rsid w:val="00E65606"/>
    <w:rsid w:val="00E66292"/>
    <w:rsid w:val="00E66659"/>
    <w:rsid w:val="00E66833"/>
    <w:rsid w:val="00E70EAC"/>
    <w:rsid w:val="00E71FE8"/>
    <w:rsid w:val="00E723AF"/>
    <w:rsid w:val="00E74669"/>
    <w:rsid w:val="00E763F6"/>
    <w:rsid w:val="00E7725B"/>
    <w:rsid w:val="00E773EE"/>
    <w:rsid w:val="00E77C88"/>
    <w:rsid w:val="00E77CEC"/>
    <w:rsid w:val="00E81645"/>
    <w:rsid w:val="00E8389D"/>
    <w:rsid w:val="00E83E1B"/>
    <w:rsid w:val="00E9219C"/>
    <w:rsid w:val="00E92240"/>
    <w:rsid w:val="00E9361C"/>
    <w:rsid w:val="00E94C8A"/>
    <w:rsid w:val="00E94D88"/>
    <w:rsid w:val="00E950D4"/>
    <w:rsid w:val="00E96944"/>
    <w:rsid w:val="00EA058D"/>
    <w:rsid w:val="00EA0E0E"/>
    <w:rsid w:val="00EA14E7"/>
    <w:rsid w:val="00EA1AC5"/>
    <w:rsid w:val="00EA2DD2"/>
    <w:rsid w:val="00EA3286"/>
    <w:rsid w:val="00EA5410"/>
    <w:rsid w:val="00EA7CA9"/>
    <w:rsid w:val="00EA7F2C"/>
    <w:rsid w:val="00EB04F2"/>
    <w:rsid w:val="00EB1073"/>
    <w:rsid w:val="00EB16B0"/>
    <w:rsid w:val="00EB16D8"/>
    <w:rsid w:val="00EB7FA2"/>
    <w:rsid w:val="00EC00DB"/>
    <w:rsid w:val="00EC0CBA"/>
    <w:rsid w:val="00EC1707"/>
    <w:rsid w:val="00EC33C7"/>
    <w:rsid w:val="00ED0323"/>
    <w:rsid w:val="00ED0EFD"/>
    <w:rsid w:val="00ED1858"/>
    <w:rsid w:val="00ED1A7A"/>
    <w:rsid w:val="00ED2874"/>
    <w:rsid w:val="00ED2B42"/>
    <w:rsid w:val="00ED4D13"/>
    <w:rsid w:val="00ED73B6"/>
    <w:rsid w:val="00ED7F29"/>
    <w:rsid w:val="00EE0A6D"/>
    <w:rsid w:val="00EE1A1E"/>
    <w:rsid w:val="00EE2B94"/>
    <w:rsid w:val="00EE2FED"/>
    <w:rsid w:val="00EE3404"/>
    <w:rsid w:val="00EE562B"/>
    <w:rsid w:val="00EE6796"/>
    <w:rsid w:val="00EE6BD6"/>
    <w:rsid w:val="00EE7D26"/>
    <w:rsid w:val="00EF10B3"/>
    <w:rsid w:val="00EF1B23"/>
    <w:rsid w:val="00EF1DCB"/>
    <w:rsid w:val="00EF433A"/>
    <w:rsid w:val="00EF509D"/>
    <w:rsid w:val="00EF5C48"/>
    <w:rsid w:val="00EF6C9E"/>
    <w:rsid w:val="00EF7CA0"/>
    <w:rsid w:val="00F009DF"/>
    <w:rsid w:val="00F01601"/>
    <w:rsid w:val="00F01C62"/>
    <w:rsid w:val="00F0235E"/>
    <w:rsid w:val="00F02EE1"/>
    <w:rsid w:val="00F045BA"/>
    <w:rsid w:val="00F04AD7"/>
    <w:rsid w:val="00F052A6"/>
    <w:rsid w:val="00F052D4"/>
    <w:rsid w:val="00F05762"/>
    <w:rsid w:val="00F07C9A"/>
    <w:rsid w:val="00F103DC"/>
    <w:rsid w:val="00F12515"/>
    <w:rsid w:val="00F142A0"/>
    <w:rsid w:val="00F15B7D"/>
    <w:rsid w:val="00F17CE9"/>
    <w:rsid w:val="00F20F93"/>
    <w:rsid w:val="00F22E5C"/>
    <w:rsid w:val="00F240F8"/>
    <w:rsid w:val="00F252BE"/>
    <w:rsid w:val="00F25C37"/>
    <w:rsid w:val="00F27FEE"/>
    <w:rsid w:val="00F301FB"/>
    <w:rsid w:val="00F305ED"/>
    <w:rsid w:val="00F30F02"/>
    <w:rsid w:val="00F31A6C"/>
    <w:rsid w:val="00F31F6F"/>
    <w:rsid w:val="00F34A4D"/>
    <w:rsid w:val="00F353A7"/>
    <w:rsid w:val="00F35DDB"/>
    <w:rsid w:val="00F36631"/>
    <w:rsid w:val="00F3722D"/>
    <w:rsid w:val="00F37ECA"/>
    <w:rsid w:val="00F40E0E"/>
    <w:rsid w:val="00F4103E"/>
    <w:rsid w:val="00F4122B"/>
    <w:rsid w:val="00F4170C"/>
    <w:rsid w:val="00F431E3"/>
    <w:rsid w:val="00F43AB2"/>
    <w:rsid w:val="00F44644"/>
    <w:rsid w:val="00F45330"/>
    <w:rsid w:val="00F45379"/>
    <w:rsid w:val="00F46A88"/>
    <w:rsid w:val="00F46F32"/>
    <w:rsid w:val="00F4754D"/>
    <w:rsid w:val="00F47C16"/>
    <w:rsid w:val="00F5042D"/>
    <w:rsid w:val="00F505FE"/>
    <w:rsid w:val="00F50894"/>
    <w:rsid w:val="00F5363E"/>
    <w:rsid w:val="00F5380D"/>
    <w:rsid w:val="00F53D01"/>
    <w:rsid w:val="00F54DA2"/>
    <w:rsid w:val="00F560B1"/>
    <w:rsid w:val="00F61A69"/>
    <w:rsid w:val="00F624F9"/>
    <w:rsid w:val="00F63979"/>
    <w:rsid w:val="00F6757E"/>
    <w:rsid w:val="00F67E4B"/>
    <w:rsid w:val="00F73370"/>
    <w:rsid w:val="00F73902"/>
    <w:rsid w:val="00F75CA3"/>
    <w:rsid w:val="00F7646B"/>
    <w:rsid w:val="00F77EAD"/>
    <w:rsid w:val="00F80B86"/>
    <w:rsid w:val="00F80EBA"/>
    <w:rsid w:val="00F81543"/>
    <w:rsid w:val="00F82846"/>
    <w:rsid w:val="00F82A7C"/>
    <w:rsid w:val="00F85CDC"/>
    <w:rsid w:val="00F8755F"/>
    <w:rsid w:val="00F87609"/>
    <w:rsid w:val="00F87E98"/>
    <w:rsid w:val="00F920A7"/>
    <w:rsid w:val="00F921D2"/>
    <w:rsid w:val="00F944A2"/>
    <w:rsid w:val="00F948CD"/>
    <w:rsid w:val="00F94C1A"/>
    <w:rsid w:val="00F9532A"/>
    <w:rsid w:val="00F954B9"/>
    <w:rsid w:val="00F971D7"/>
    <w:rsid w:val="00FA25C4"/>
    <w:rsid w:val="00FA36BB"/>
    <w:rsid w:val="00FA4546"/>
    <w:rsid w:val="00FA46D7"/>
    <w:rsid w:val="00FA5FEE"/>
    <w:rsid w:val="00FA6197"/>
    <w:rsid w:val="00FA67CB"/>
    <w:rsid w:val="00FB0896"/>
    <w:rsid w:val="00FB0C3C"/>
    <w:rsid w:val="00FB12BC"/>
    <w:rsid w:val="00FB2074"/>
    <w:rsid w:val="00FB22E7"/>
    <w:rsid w:val="00FB5DC3"/>
    <w:rsid w:val="00FB606E"/>
    <w:rsid w:val="00FB6A0B"/>
    <w:rsid w:val="00FC1990"/>
    <w:rsid w:val="00FC1E68"/>
    <w:rsid w:val="00FC231A"/>
    <w:rsid w:val="00FC2497"/>
    <w:rsid w:val="00FC271E"/>
    <w:rsid w:val="00FC3964"/>
    <w:rsid w:val="00FC3FEE"/>
    <w:rsid w:val="00FC41B8"/>
    <w:rsid w:val="00FC71C7"/>
    <w:rsid w:val="00FC7418"/>
    <w:rsid w:val="00FD03D5"/>
    <w:rsid w:val="00FD0E12"/>
    <w:rsid w:val="00FD13FD"/>
    <w:rsid w:val="00FD57E9"/>
    <w:rsid w:val="00FD730F"/>
    <w:rsid w:val="00FE0585"/>
    <w:rsid w:val="00FE2BEF"/>
    <w:rsid w:val="00FE5260"/>
    <w:rsid w:val="00FE64DB"/>
    <w:rsid w:val="00FE726F"/>
    <w:rsid w:val="00FF0C77"/>
    <w:rsid w:val="00FF118D"/>
    <w:rsid w:val="00FF30AB"/>
    <w:rsid w:val="00FF3877"/>
    <w:rsid w:val="00FF7AD4"/>
    <w:rsid w:val="00FF7C13"/>
    <w:rsid w:val="00FF7E14"/>
    <w:rsid w:val="00FF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3457"/>
    <o:shapelayout v:ext="edit">
      <o:idmap v:ext="edit" data="1"/>
    </o:shapelayout>
  </w:shapeDefaults>
  <w:decimalSymbol w:val="."/>
  <w:listSeparator w:val=","/>
  <w14:docId w14:val="7E80DE52"/>
  <w15:docId w15:val="{81AC3284-672B-4A19-86EE-98B06B47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4751"/>
    <w:rPr>
      <w:rFonts w:ascii="Tahoma" w:hAnsi="Tahoma" w:cs="Tahoma"/>
      <w:sz w:val="16"/>
      <w:szCs w:val="16"/>
    </w:rPr>
  </w:style>
  <w:style w:type="paragraph" w:styleId="Header">
    <w:name w:val="header"/>
    <w:basedOn w:val="Normal"/>
    <w:rsid w:val="00102268"/>
    <w:pPr>
      <w:tabs>
        <w:tab w:val="center" w:pos="4320"/>
        <w:tab w:val="right" w:pos="8640"/>
      </w:tabs>
    </w:pPr>
  </w:style>
  <w:style w:type="paragraph" w:styleId="Footer">
    <w:name w:val="footer"/>
    <w:basedOn w:val="Normal"/>
    <w:rsid w:val="00102268"/>
    <w:pPr>
      <w:tabs>
        <w:tab w:val="center" w:pos="4320"/>
        <w:tab w:val="right" w:pos="8640"/>
      </w:tabs>
    </w:pPr>
  </w:style>
  <w:style w:type="character" w:styleId="Hyperlink">
    <w:name w:val="Hyperlink"/>
    <w:rsid w:val="001A6473"/>
    <w:rPr>
      <w:color w:val="0000FF"/>
      <w:u w:val="single"/>
    </w:rPr>
  </w:style>
  <w:style w:type="character" w:styleId="FollowedHyperlink">
    <w:name w:val="FollowedHyperlink"/>
    <w:rsid w:val="009112FF"/>
    <w:rPr>
      <w:color w:val="800080"/>
      <w:u w:val="single"/>
    </w:rPr>
  </w:style>
  <w:style w:type="character" w:styleId="CommentReference">
    <w:name w:val="annotation reference"/>
    <w:uiPriority w:val="99"/>
    <w:semiHidden/>
    <w:unhideWhenUsed/>
    <w:rsid w:val="008F4640"/>
    <w:rPr>
      <w:sz w:val="16"/>
      <w:szCs w:val="16"/>
    </w:rPr>
  </w:style>
  <w:style w:type="paragraph" w:styleId="CommentText">
    <w:name w:val="annotation text"/>
    <w:basedOn w:val="Normal"/>
    <w:link w:val="CommentTextChar"/>
    <w:uiPriority w:val="99"/>
    <w:unhideWhenUsed/>
    <w:rsid w:val="008F4640"/>
  </w:style>
  <w:style w:type="character" w:customStyle="1" w:styleId="CommentTextChar">
    <w:name w:val="Comment Text Char"/>
    <w:link w:val="CommentText"/>
    <w:uiPriority w:val="99"/>
    <w:rsid w:val="008F4640"/>
    <w:rPr>
      <w:lang w:eastAsia="en-US"/>
    </w:rPr>
  </w:style>
  <w:style w:type="paragraph" w:styleId="CommentSubject">
    <w:name w:val="annotation subject"/>
    <w:basedOn w:val="CommentText"/>
    <w:next w:val="CommentText"/>
    <w:link w:val="CommentSubjectChar"/>
    <w:uiPriority w:val="99"/>
    <w:semiHidden/>
    <w:unhideWhenUsed/>
    <w:rsid w:val="008F4640"/>
    <w:rPr>
      <w:b/>
      <w:bCs/>
    </w:rPr>
  </w:style>
  <w:style w:type="character" w:customStyle="1" w:styleId="CommentSubjectChar">
    <w:name w:val="Comment Subject Char"/>
    <w:link w:val="CommentSubject"/>
    <w:uiPriority w:val="99"/>
    <w:semiHidden/>
    <w:rsid w:val="008F4640"/>
    <w:rPr>
      <w:b/>
      <w:bCs/>
      <w:lang w:eastAsia="en-US"/>
    </w:rPr>
  </w:style>
  <w:style w:type="paragraph" w:customStyle="1" w:styleId="gmail-m-1408096845658634852msolistparagraph">
    <w:name w:val="gmail-m_-1408096845658634852msolistparagraph"/>
    <w:basedOn w:val="Normal"/>
    <w:rsid w:val="00972E35"/>
    <w:pPr>
      <w:spacing w:before="100" w:beforeAutospacing="1" w:after="100" w:afterAutospacing="1"/>
    </w:pPr>
    <w:rPr>
      <w:rFonts w:eastAsia="Calibri"/>
      <w:sz w:val="24"/>
      <w:szCs w:val="24"/>
      <w:lang w:eastAsia="en-GB"/>
    </w:rPr>
  </w:style>
  <w:style w:type="paragraph" w:styleId="ListParagraph">
    <w:name w:val="List Paragraph"/>
    <w:basedOn w:val="Normal"/>
    <w:uiPriority w:val="34"/>
    <w:qFormat/>
    <w:rsid w:val="00C51FDE"/>
    <w:pPr>
      <w:ind w:left="720"/>
    </w:pPr>
    <w:rPr>
      <w:rFonts w:eastAsia="Calibri"/>
      <w:sz w:val="24"/>
      <w:szCs w:val="24"/>
      <w:lang w:eastAsia="en-GB"/>
    </w:rPr>
  </w:style>
  <w:style w:type="character" w:customStyle="1" w:styleId="apple-converted-space">
    <w:name w:val="apple-converted-space"/>
    <w:rsid w:val="00261689"/>
  </w:style>
  <w:style w:type="paragraph" w:customStyle="1" w:styleId="Default">
    <w:name w:val="Default"/>
    <w:rsid w:val="00B55EEE"/>
    <w:pPr>
      <w:autoSpaceDE w:val="0"/>
      <w:autoSpaceDN w:val="0"/>
      <w:adjustRightInd w:val="0"/>
    </w:pPr>
    <w:rPr>
      <w:rFonts w:ascii="Calibri" w:hAnsi="Calibri" w:cs="Calibri"/>
      <w:color w:val="000000"/>
      <w:sz w:val="24"/>
      <w:szCs w:val="24"/>
    </w:rPr>
  </w:style>
  <w:style w:type="character" w:styleId="Strong">
    <w:name w:val="Strong"/>
    <w:uiPriority w:val="22"/>
    <w:qFormat/>
    <w:rsid w:val="00C77B15"/>
    <w:rPr>
      <w:b/>
      <w:bCs/>
    </w:rPr>
  </w:style>
  <w:style w:type="paragraph" w:styleId="FootnoteText">
    <w:name w:val="footnote text"/>
    <w:basedOn w:val="Normal"/>
    <w:link w:val="FootnoteTextChar"/>
    <w:uiPriority w:val="99"/>
    <w:semiHidden/>
    <w:unhideWhenUsed/>
    <w:rsid w:val="00156F93"/>
  </w:style>
  <w:style w:type="character" w:customStyle="1" w:styleId="FootnoteTextChar">
    <w:name w:val="Footnote Text Char"/>
    <w:link w:val="FootnoteText"/>
    <w:uiPriority w:val="99"/>
    <w:semiHidden/>
    <w:rsid w:val="00156F93"/>
    <w:rPr>
      <w:lang w:eastAsia="en-US"/>
    </w:rPr>
  </w:style>
  <w:style w:type="character" w:styleId="FootnoteReference">
    <w:name w:val="footnote reference"/>
    <w:uiPriority w:val="99"/>
    <w:semiHidden/>
    <w:unhideWhenUsed/>
    <w:rsid w:val="00156F93"/>
    <w:rPr>
      <w:vertAlign w:val="superscript"/>
    </w:rPr>
  </w:style>
  <w:style w:type="paragraph" w:styleId="NormalWeb">
    <w:name w:val="Normal (Web)"/>
    <w:basedOn w:val="Normal"/>
    <w:uiPriority w:val="99"/>
    <w:semiHidden/>
    <w:unhideWhenUsed/>
    <w:rsid w:val="00560000"/>
    <w:pPr>
      <w:spacing w:before="100" w:beforeAutospacing="1" w:after="100" w:afterAutospacing="1"/>
    </w:pPr>
    <w:rPr>
      <w:rFonts w:eastAsia="Calibri"/>
      <w:sz w:val="24"/>
      <w:szCs w:val="24"/>
      <w:lang w:eastAsia="en-GB"/>
    </w:rPr>
  </w:style>
  <w:style w:type="paragraph" w:customStyle="1" w:styleId="ydp33e8f062msonormal">
    <w:name w:val="ydp33e8f062msonormal"/>
    <w:basedOn w:val="Normal"/>
    <w:rsid w:val="009442DF"/>
    <w:pPr>
      <w:spacing w:before="100" w:beforeAutospacing="1" w:after="100" w:afterAutospacing="1"/>
    </w:pPr>
    <w:rPr>
      <w:rFonts w:eastAsiaTheme="minorHAnsi"/>
      <w:sz w:val="24"/>
      <w:szCs w:val="24"/>
      <w:lang w:eastAsia="en-GB"/>
    </w:rPr>
  </w:style>
  <w:style w:type="paragraph" w:customStyle="1" w:styleId="align-justify">
    <w:name w:val="align-justify"/>
    <w:basedOn w:val="Normal"/>
    <w:rsid w:val="009950DF"/>
    <w:pPr>
      <w:spacing w:before="100" w:beforeAutospacing="1" w:after="100" w:afterAutospacing="1"/>
    </w:pPr>
    <w:rPr>
      <w:sz w:val="24"/>
      <w:szCs w:val="24"/>
      <w:lang w:eastAsia="en-GB"/>
    </w:rPr>
  </w:style>
  <w:style w:type="paragraph" w:customStyle="1" w:styleId="fab6k8g">
    <w:name w:val="fab6k8g"/>
    <w:basedOn w:val="Normal"/>
    <w:rsid w:val="002E765C"/>
    <w:pPr>
      <w:spacing w:before="100" w:beforeAutospacing="1" w:after="100" w:afterAutospacing="1"/>
    </w:pPr>
    <w:rPr>
      <w:rFonts w:eastAsiaTheme="minorHAnsi"/>
      <w:sz w:val="24"/>
      <w:szCs w:val="24"/>
      <w:lang w:eastAsia="en-GB"/>
    </w:rPr>
  </w:style>
  <w:style w:type="character" w:customStyle="1" w:styleId="UnresolvedMention1">
    <w:name w:val="Unresolved Mention1"/>
    <w:basedOn w:val="DefaultParagraphFont"/>
    <w:uiPriority w:val="99"/>
    <w:semiHidden/>
    <w:unhideWhenUsed/>
    <w:rsid w:val="00520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520">
      <w:bodyDiv w:val="1"/>
      <w:marLeft w:val="0"/>
      <w:marRight w:val="0"/>
      <w:marTop w:val="0"/>
      <w:marBottom w:val="0"/>
      <w:divBdr>
        <w:top w:val="none" w:sz="0" w:space="0" w:color="auto"/>
        <w:left w:val="none" w:sz="0" w:space="0" w:color="auto"/>
        <w:bottom w:val="none" w:sz="0" w:space="0" w:color="auto"/>
        <w:right w:val="none" w:sz="0" w:space="0" w:color="auto"/>
      </w:divBdr>
    </w:div>
    <w:div w:id="37122683">
      <w:bodyDiv w:val="1"/>
      <w:marLeft w:val="0"/>
      <w:marRight w:val="0"/>
      <w:marTop w:val="0"/>
      <w:marBottom w:val="0"/>
      <w:divBdr>
        <w:top w:val="none" w:sz="0" w:space="0" w:color="auto"/>
        <w:left w:val="none" w:sz="0" w:space="0" w:color="auto"/>
        <w:bottom w:val="none" w:sz="0" w:space="0" w:color="auto"/>
        <w:right w:val="none" w:sz="0" w:space="0" w:color="auto"/>
      </w:divBdr>
    </w:div>
    <w:div w:id="182089538">
      <w:bodyDiv w:val="1"/>
      <w:marLeft w:val="0"/>
      <w:marRight w:val="0"/>
      <w:marTop w:val="0"/>
      <w:marBottom w:val="0"/>
      <w:divBdr>
        <w:top w:val="none" w:sz="0" w:space="0" w:color="auto"/>
        <w:left w:val="none" w:sz="0" w:space="0" w:color="auto"/>
        <w:bottom w:val="none" w:sz="0" w:space="0" w:color="auto"/>
        <w:right w:val="none" w:sz="0" w:space="0" w:color="auto"/>
      </w:divBdr>
    </w:div>
    <w:div w:id="186986081">
      <w:bodyDiv w:val="1"/>
      <w:marLeft w:val="0"/>
      <w:marRight w:val="0"/>
      <w:marTop w:val="0"/>
      <w:marBottom w:val="0"/>
      <w:divBdr>
        <w:top w:val="none" w:sz="0" w:space="0" w:color="auto"/>
        <w:left w:val="none" w:sz="0" w:space="0" w:color="auto"/>
        <w:bottom w:val="none" w:sz="0" w:space="0" w:color="auto"/>
        <w:right w:val="none" w:sz="0" w:space="0" w:color="auto"/>
      </w:divBdr>
    </w:div>
    <w:div w:id="306401105">
      <w:bodyDiv w:val="1"/>
      <w:marLeft w:val="0"/>
      <w:marRight w:val="0"/>
      <w:marTop w:val="0"/>
      <w:marBottom w:val="0"/>
      <w:divBdr>
        <w:top w:val="none" w:sz="0" w:space="0" w:color="auto"/>
        <w:left w:val="none" w:sz="0" w:space="0" w:color="auto"/>
        <w:bottom w:val="none" w:sz="0" w:space="0" w:color="auto"/>
        <w:right w:val="none" w:sz="0" w:space="0" w:color="auto"/>
      </w:divBdr>
    </w:div>
    <w:div w:id="331686345">
      <w:bodyDiv w:val="1"/>
      <w:marLeft w:val="0"/>
      <w:marRight w:val="0"/>
      <w:marTop w:val="0"/>
      <w:marBottom w:val="0"/>
      <w:divBdr>
        <w:top w:val="none" w:sz="0" w:space="0" w:color="auto"/>
        <w:left w:val="none" w:sz="0" w:space="0" w:color="auto"/>
        <w:bottom w:val="none" w:sz="0" w:space="0" w:color="auto"/>
        <w:right w:val="none" w:sz="0" w:space="0" w:color="auto"/>
      </w:divBdr>
    </w:div>
    <w:div w:id="346181451">
      <w:bodyDiv w:val="1"/>
      <w:marLeft w:val="0"/>
      <w:marRight w:val="0"/>
      <w:marTop w:val="0"/>
      <w:marBottom w:val="0"/>
      <w:divBdr>
        <w:top w:val="none" w:sz="0" w:space="0" w:color="auto"/>
        <w:left w:val="none" w:sz="0" w:space="0" w:color="auto"/>
        <w:bottom w:val="none" w:sz="0" w:space="0" w:color="auto"/>
        <w:right w:val="none" w:sz="0" w:space="0" w:color="auto"/>
      </w:divBdr>
    </w:div>
    <w:div w:id="392042429">
      <w:bodyDiv w:val="1"/>
      <w:marLeft w:val="0"/>
      <w:marRight w:val="0"/>
      <w:marTop w:val="0"/>
      <w:marBottom w:val="0"/>
      <w:divBdr>
        <w:top w:val="none" w:sz="0" w:space="0" w:color="auto"/>
        <w:left w:val="none" w:sz="0" w:space="0" w:color="auto"/>
        <w:bottom w:val="none" w:sz="0" w:space="0" w:color="auto"/>
        <w:right w:val="none" w:sz="0" w:space="0" w:color="auto"/>
      </w:divBdr>
    </w:div>
    <w:div w:id="421806109">
      <w:bodyDiv w:val="1"/>
      <w:marLeft w:val="0"/>
      <w:marRight w:val="0"/>
      <w:marTop w:val="0"/>
      <w:marBottom w:val="0"/>
      <w:divBdr>
        <w:top w:val="none" w:sz="0" w:space="0" w:color="auto"/>
        <w:left w:val="none" w:sz="0" w:space="0" w:color="auto"/>
        <w:bottom w:val="none" w:sz="0" w:space="0" w:color="auto"/>
        <w:right w:val="none" w:sz="0" w:space="0" w:color="auto"/>
      </w:divBdr>
    </w:div>
    <w:div w:id="613944776">
      <w:bodyDiv w:val="1"/>
      <w:marLeft w:val="0"/>
      <w:marRight w:val="0"/>
      <w:marTop w:val="0"/>
      <w:marBottom w:val="0"/>
      <w:divBdr>
        <w:top w:val="none" w:sz="0" w:space="0" w:color="auto"/>
        <w:left w:val="none" w:sz="0" w:space="0" w:color="auto"/>
        <w:bottom w:val="none" w:sz="0" w:space="0" w:color="auto"/>
        <w:right w:val="none" w:sz="0" w:space="0" w:color="auto"/>
      </w:divBdr>
    </w:div>
    <w:div w:id="621886642">
      <w:bodyDiv w:val="1"/>
      <w:marLeft w:val="0"/>
      <w:marRight w:val="0"/>
      <w:marTop w:val="0"/>
      <w:marBottom w:val="0"/>
      <w:divBdr>
        <w:top w:val="none" w:sz="0" w:space="0" w:color="auto"/>
        <w:left w:val="none" w:sz="0" w:space="0" w:color="auto"/>
        <w:bottom w:val="none" w:sz="0" w:space="0" w:color="auto"/>
        <w:right w:val="none" w:sz="0" w:space="0" w:color="auto"/>
      </w:divBdr>
    </w:div>
    <w:div w:id="637682752">
      <w:bodyDiv w:val="1"/>
      <w:marLeft w:val="0"/>
      <w:marRight w:val="0"/>
      <w:marTop w:val="0"/>
      <w:marBottom w:val="0"/>
      <w:divBdr>
        <w:top w:val="none" w:sz="0" w:space="0" w:color="auto"/>
        <w:left w:val="none" w:sz="0" w:space="0" w:color="auto"/>
        <w:bottom w:val="none" w:sz="0" w:space="0" w:color="auto"/>
        <w:right w:val="none" w:sz="0" w:space="0" w:color="auto"/>
      </w:divBdr>
    </w:div>
    <w:div w:id="662464982">
      <w:bodyDiv w:val="1"/>
      <w:marLeft w:val="0"/>
      <w:marRight w:val="0"/>
      <w:marTop w:val="0"/>
      <w:marBottom w:val="0"/>
      <w:divBdr>
        <w:top w:val="none" w:sz="0" w:space="0" w:color="auto"/>
        <w:left w:val="none" w:sz="0" w:space="0" w:color="auto"/>
        <w:bottom w:val="none" w:sz="0" w:space="0" w:color="auto"/>
        <w:right w:val="none" w:sz="0" w:space="0" w:color="auto"/>
      </w:divBdr>
    </w:div>
    <w:div w:id="683671635">
      <w:bodyDiv w:val="1"/>
      <w:marLeft w:val="0"/>
      <w:marRight w:val="0"/>
      <w:marTop w:val="0"/>
      <w:marBottom w:val="0"/>
      <w:divBdr>
        <w:top w:val="none" w:sz="0" w:space="0" w:color="auto"/>
        <w:left w:val="none" w:sz="0" w:space="0" w:color="auto"/>
        <w:bottom w:val="none" w:sz="0" w:space="0" w:color="auto"/>
        <w:right w:val="none" w:sz="0" w:space="0" w:color="auto"/>
      </w:divBdr>
    </w:div>
    <w:div w:id="706948882">
      <w:bodyDiv w:val="1"/>
      <w:marLeft w:val="0"/>
      <w:marRight w:val="0"/>
      <w:marTop w:val="0"/>
      <w:marBottom w:val="0"/>
      <w:divBdr>
        <w:top w:val="none" w:sz="0" w:space="0" w:color="auto"/>
        <w:left w:val="none" w:sz="0" w:space="0" w:color="auto"/>
        <w:bottom w:val="none" w:sz="0" w:space="0" w:color="auto"/>
        <w:right w:val="none" w:sz="0" w:space="0" w:color="auto"/>
      </w:divBdr>
    </w:div>
    <w:div w:id="708336153">
      <w:bodyDiv w:val="1"/>
      <w:marLeft w:val="0"/>
      <w:marRight w:val="0"/>
      <w:marTop w:val="0"/>
      <w:marBottom w:val="0"/>
      <w:divBdr>
        <w:top w:val="none" w:sz="0" w:space="0" w:color="auto"/>
        <w:left w:val="none" w:sz="0" w:space="0" w:color="auto"/>
        <w:bottom w:val="none" w:sz="0" w:space="0" w:color="auto"/>
        <w:right w:val="none" w:sz="0" w:space="0" w:color="auto"/>
      </w:divBdr>
    </w:div>
    <w:div w:id="732578899">
      <w:bodyDiv w:val="1"/>
      <w:marLeft w:val="0"/>
      <w:marRight w:val="0"/>
      <w:marTop w:val="0"/>
      <w:marBottom w:val="0"/>
      <w:divBdr>
        <w:top w:val="none" w:sz="0" w:space="0" w:color="auto"/>
        <w:left w:val="none" w:sz="0" w:space="0" w:color="auto"/>
        <w:bottom w:val="none" w:sz="0" w:space="0" w:color="auto"/>
        <w:right w:val="none" w:sz="0" w:space="0" w:color="auto"/>
      </w:divBdr>
    </w:div>
    <w:div w:id="793141148">
      <w:bodyDiv w:val="1"/>
      <w:marLeft w:val="0"/>
      <w:marRight w:val="0"/>
      <w:marTop w:val="0"/>
      <w:marBottom w:val="0"/>
      <w:divBdr>
        <w:top w:val="none" w:sz="0" w:space="0" w:color="auto"/>
        <w:left w:val="none" w:sz="0" w:space="0" w:color="auto"/>
        <w:bottom w:val="none" w:sz="0" w:space="0" w:color="auto"/>
        <w:right w:val="none" w:sz="0" w:space="0" w:color="auto"/>
      </w:divBdr>
    </w:div>
    <w:div w:id="812328118">
      <w:bodyDiv w:val="1"/>
      <w:marLeft w:val="0"/>
      <w:marRight w:val="0"/>
      <w:marTop w:val="0"/>
      <w:marBottom w:val="0"/>
      <w:divBdr>
        <w:top w:val="none" w:sz="0" w:space="0" w:color="auto"/>
        <w:left w:val="none" w:sz="0" w:space="0" w:color="auto"/>
        <w:bottom w:val="none" w:sz="0" w:space="0" w:color="auto"/>
        <w:right w:val="none" w:sz="0" w:space="0" w:color="auto"/>
      </w:divBdr>
    </w:div>
    <w:div w:id="915475431">
      <w:bodyDiv w:val="1"/>
      <w:marLeft w:val="0"/>
      <w:marRight w:val="0"/>
      <w:marTop w:val="0"/>
      <w:marBottom w:val="0"/>
      <w:divBdr>
        <w:top w:val="none" w:sz="0" w:space="0" w:color="auto"/>
        <w:left w:val="none" w:sz="0" w:space="0" w:color="auto"/>
        <w:bottom w:val="none" w:sz="0" w:space="0" w:color="auto"/>
        <w:right w:val="none" w:sz="0" w:space="0" w:color="auto"/>
      </w:divBdr>
    </w:div>
    <w:div w:id="916015687">
      <w:bodyDiv w:val="1"/>
      <w:marLeft w:val="0"/>
      <w:marRight w:val="0"/>
      <w:marTop w:val="0"/>
      <w:marBottom w:val="0"/>
      <w:divBdr>
        <w:top w:val="none" w:sz="0" w:space="0" w:color="auto"/>
        <w:left w:val="none" w:sz="0" w:space="0" w:color="auto"/>
        <w:bottom w:val="none" w:sz="0" w:space="0" w:color="auto"/>
        <w:right w:val="none" w:sz="0" w:space="0" w:color="auto"/>
      </w:divBdr>
    </w:div>
    <w:div w:id="959725298">
      <w:bodyDiv w:val="1"/>
      <w:marLeft w:val="0"/>
      <w:marRight w:val="0"/>
      <w:marTop w:val="0"/>
      <w:marBottom w:val="0"/>
      <w:divBdr>
        <w:top w:val="none" w:sz="0" w:space="0" w:color="auto"/>
        <w:left w:val="none" w:sz="0" w:space="0" w:color="auto"/>
        <w:bottom w:val="none" w:sz="0" w:space="0" w:color="auto"/>
        <w:right w:val="none" w:sz="0" w:space="0" w:color="auto"/>
      </w:divBdr>
    </w:div>
    <w:div w:id="968629988">
      <w:bodyDiv w:val="1"/>
      <w:marLeft w:val="0"/>
      <w:marRight w:val="0"/>
      <w:marTop w:val="0"/>
      <w:marBottom w:val="0"/>
      <w:divBdr>
        <w:top w:val="none" w:sz="0" w:space="0" w:color="auto"/>
        <w:left w:val="none" w:sz="0" w:space="0" w:color="auto"/>
        <w:bottom w:val="none" w:sz="0" w:space="0" w:color="auto"/>
        <w:right w:val="none" w:sz="0" w:space="0" w:color="auto"/>
      </w:divBdr>
    </w:div>
    <w:div w:id="996806304">
      <w:bodyDiv w:val="1"/>
      <w:marLeft w:val="0"/>
      <w:marRight w:val="0"/>
      <w:marTop w:val="0"/>
      <w:marBottom w:val="0"/>
      <w:divBdr>
        <w:top w:val="none" w:sz="0" w:space="0" w:color="auto"/>
        <w:left w:val="none" w:sz="0" w:space="0" w:color="auto"/>
        <w:bottom w:val="none" w:sz="0" w:space="0" w:color="auto"/>
        <w:right w:val="none" w:sz="0" w:space="0" w:color="auto"/>
      </w:divBdr>
    </w:div>
    <w:div w:id="1072503659">
      <w:bodyDiv w:val="1"/>
      <w:marLeft w:val="0"/>
      <w:marRight w:val="0"/>
      <w:marTop w:val="0"/>
      <w:marBottom w:val="0"/>
      <w:divBdr>
        <w:top w:val="none" w:sz="0" w:space="0" w:color="auto"/>
        <w:left w:val="none" w:sz="0" w:space="0" w:color="auto"/>
        <w:bottom w:val="none" w:sz="0" w:space="0" w:color="auto"/>
        <w:right w:val="none" w:sz="0" w:space="0" w:color="auto"/>
      </w:divBdr>
    </w:div>
    <w:div w:id="1075860359">
      <w:bodyDiv w:val="1"/>
      <w:marLeft w:val="0"/>
      <w:marRight w:val="0"/>
      <w:marTop w:val="0"/>
      <w:marBottom w:val="0"/>
      <w:divBdr>
        <w:top w:val="none" w:sz="0" w:space="0" w:color="auto"/>
        <w:left w:val="none" w:sz="0" w:space="0" w:color="auto"/>
        <w:bottom w:val="none" w:sz="0" w:space="0" w:color="auto"/>
        <w:right w:val="none" w:sz="0" w:space="0" w:color="auto"/>
      </w:divBdr>
    </w:div>
    <w:div w:id="1095983504">
      <w:bodyDiv w:val="1"/>
      <w:marLeft w:val="0"/>
      <w:marRight w:val="0"/>
      <w:marTop w:val="0"/>
      <w:marBottom w:val="0"/>
      <w:divBdr>
        <w:top w:val="none" w:sz="0" w:space="0" w:color="auto"/>
        <w:left w:val="none" w:sz="0" w:space="0" w:color="auto"/>
        <w:bottom w:val="none" w:sz="0" w:space="0" w:color="auto"/>
        <w:right w:val="none" w:sz="0" w:space="0" w:color="auto"/>
      </w:divBdr>
    </w:div>
    <w:div w:id="1159465816">
      <w:bodyDiv w:val="1"/>
      <w:marLeft w:val="0"/>
      <w:marRight w:val="0"/>
      <w:marTop w:val="0"/>
      <w:marBottom w:val="0"/>
      <w:divBdr>
        <w:top w:val="none" w:sz="0" w:space="0" w:color="auto"/>
        <w:left w:val="none" w:sz="0" w:space="0" w:color="auto"/>
        <w:bottom w:val="none" w:sz="0" w:space="0" w:color="auto"/>
        <w:right w:val="none" w:sz="0" w:space="0" w:color="auto"/>
      </w:divBdr>
    </w:div>
    <w:div w:id="1167746522">
      <w:bodyDiv w:val="1"/>
      <w:marLeft w:val="0"/>
      <w:marRight w:val="0"/>
      <w:marTop w:val="0"/>
      <w:marBottom w:val="0"/>
      <w:divBdr>
        <w:top w:val="none" w:sz="0" w:space="0" w:color="auto"/>
        <w:left w:val="none" w:sz="0" w:space="0" w:color="auto"/>
        <w:bottom w:val="none" w:sz="0" w:space="0" w:color="auto"/>
        <w:right w:val="none" w:sz="0" w:space="0" w:color="auto"/>
      </w:divBdr>
    </w:div>
    <w:div w:id="1222324822">
      <w:bodyDiv w:val="1"/>
      <w:marLeft w:val="0"/>
      <w:marRight w:val="0"/>
      <w:marTop w:val="0"/>
      <w:marBottom w:val="0"/>
      <w:divBdr>
        <w:top w:val="none" w:sz="0" w:space="0" w:color="auto"/>
        <w:left w:val="none" w:sz="0" w:space="0" w:color="auto"/>
        <w:bottom w:val="none" w:sz="0" w:space="0" w:color="auto"/>
        <w:right w:val="none" w:sz="0" w:space="0" w:color="auto"/>
      </w:divBdr>
    </w:div>
    <w:div w:id="1281689711">
      <w:bodyDiv w:val="1"/>
      <w:marLeft w:val="0"/>
      <w:marRight w:val="0"/>
      <w:marTop w:val="0"/>
      <w:marBottom w:val="0"/>
      <w:divBdr>
        <w:top w:val="none" w:sz="0" w:space="0" w:color="auto"/>
        <w:left w:val="none" w:sz="0" w:space="0" w:color="auto"/>
        <w:bottom w:val="none" w:sz="0" w:space="0" w:color="auto"/>
        <w:right w:val="none" w:sz="0" w:space="0" w:color="auto"/>
      </w:divBdr>
    </w:div>
    <w:div w:id="1354526695">
      <w:bodyDiv w:val="1"/>
      <w:marLeft w:val="0"/>
      <w:marRight w:val="0"/>
      <w:marTop w:val="0"/>
      <w:marBottom w:val="0"/>
      <w:divBdr>
        <w:top w:val="none" w:sz="0" w:space="0" w:color="auto"/>
        <w:left w:val="none" w:sz="0" w:space="0" w:color="auto"/>
        <w:bottom w:val="none" w:sz="0" w:space="0" w:color="auto"/>
        <w:right w:val="none" w:sz="0" w:space="0" w:color="auto"/>
      </w:divBdr>
    </w:div>
    <w:div w:id="1413241010">
      <w:bodyDiv w:val="1"/>
      <w:marLeft w:val="0"/>
      <w:marRight w:val="0"/>
      <w:marTop w:val="0"/>
      <w:marBottom w:val="0"/>
      <w:divBdr>
        <w:top w:val="none" w:sz="0" w:space="0" w:color="auto"/>
        <w:left w:val="none" w:sz="0" w:space="0" w:color="auto"/>
        <w:bottom w:val="none" w:sz="0" w:space="0" w:color="auto"/>
        <w:right w:val="none" w:sz="0" w:space="0" w:color="auto"/>
      </w:divBdr>
    </w:div>
    <w:div w:id="1424111099">
      <w:bodyDiv w:val="1"/>
      <w:marLeft w:val="0"/>
      <w:marRight w:val="0"/>
      <w:marTop w:val="0"/>
      <w:marBottom w:val="0"/>
      <w:divBdr>
        <w:top w:val="none" w:sz="0" w:space="0" w:color="auto"/>
        <w:left w:val="none" w:sz="0" w:space="0" w:color="auto"/>
        <w:bottom w:val="none" w:sz="0" w:space="0" w:color="auto"/>
        <w:right w:val="none" w:sz="0" w:space="0" w:color="auto"/>
      </w:divBdr>
    </w:div>
    <w:div w:id="1437598125">
      <w:bodyDiv w:val="1"/>
      <w:marLeft w:val="0"/>
      <w:marRight w:val="0"/>
      <w:marTop w:val="0"/>
      <w:marBottom w:val="0"/>
      <w:divBdr>
        <w:top w:val="none" w:sz="0" w:space="0" w:color="auto"/>
        <w:left w:val="none" w:sz="0" w:space="0" w:color="auto"/>
        <w:bottom w:val="none" w:sz="0" w:space="0" w:color="auto"/>
        <w:right w:val="none" w:sz="0" w:space="0" w:color="auto"/>
      </w:divBdr>
    </w:div>
    <w:div w:id="1595743091">
      <w:bodyDiv w:val="1"/>
      <w:marLeft w:val="0"/>
      <w:marRight w:val="0"/>
      <w:marTop w:val="0"/>
      <w:marBottom w:val="0"/>
      <w:divBdr>
        <w:top w:val="none" w:sz="0" w:space="0" w:color="auto"/>
        <w:left w:val="none" w:sz="0" w:space="0" w:color="auto"/>
        <w:bottom w:val="none" w:sz="0" w:space="0" w:color="auto"/>
        <w:right w:val="none" w:sz="0" w:space="0" w:color="auto"/>
      </w:divBdr>
    </w:div>
    <w:div w:id="1696539518">
      <w:bodyDiv w:val="1"/>
      <w:marLeft w:val="0"/>
      <w:marRight w:val="0"/>
      <w:marTop w:val="0"/>
      <w:marBottom w:val="0"/>
      <w:divBdr>
        <w:top w:val="none" w:sz="0" w:space="0" w:color="auto"/>
        <w:left w:val="none" w:sz="0" w:space="0" w:color="auto"/>
        <w:bottom w:val="none" w:sz="0" w:space="0" w:color="auto"/>
        <w:right w:val="none" w:sz="0" w:space="0" w:color="auto"/>
      </w:divBdr>
    </w:div>
    <w:div w:id="1700619636">
      <w:bodyDiv w:val="1"/>
      <w:marLeft w:val="0"/>
      <w:marRight w:val="0"/>
      <w:marTop w:val="0"/>
      <w:marBottom w:val="0"/>
      <w:divBdr>
        <w:top w:val="none" w:sz="0" w:space="0" w:color="auto"/>
        <w:left w:val="none" w:sz="0" w:space="0" w:color="auto"/>
        <w:bottom w:val="none" w:sz="0" w:space="0" w:color="auto"/>
        <w:right w:val="none" w:sz="0" w:space="0" w:color="auto"/>
      </w:divBdr>
    </w:div>
    <w:div w:id="1703628467">
      <w:bodyDiv w:val="1"/>
      <w:marLeft w:val="0"/>
      <w:marRight w:val="0"/>
      <w:marTop w:val="0"/>
      <w:marBottom w:val="0"/>
      <w:divBdr>
        <w:top w:val="none" w:sz="0" w:space="0" w:color="auto"/>
        <w:left w:val="none" w:sz="0" w:space="0" w:color="auto"/>
        <w:bottom w:val="none" w:sz="0" w:space="0" w:color="auto"/>
        <w:right w:val="none" w:sz="0" w:space="0" w:color="auto"/>
      </w:divBdr>
    </w:div>
    <w:div w:id="1713263899">
      <w:bodyDiv w:val="1"/>
      <w:marLeft w:val="0"/>
      <w:marRight w:val="0"/>
      <w:marTop w:val="0"/>
      <w:marBottom w:val="0"/>
      <w:divBdr>
        <w:top w:val="none" w:sz="0" w:space="0" w:color="auto"/>
        <w:left w:val="none" w:sz="0" w:space="0" w:color="auto"/>
        <w:bottom w:val="none" w:sz="0" w:space="0" w:color="auto"/>
        <w:right w:val="none" w:sz="0" w:space="0" w:color="auto"/>
      </w:divBdr>
    </w:div>
    <w:div w:id="1723793937">
      <w:bodyDiv w:val="1"/>
      <w:marLeft w:val="0"/>
      <w:marRight w:val="0"/>
      <w:marTop w:val="0"/>
      <w:marBottom w:val="0"/>
      <w:divBdr>
        <w:top w:val="none" w:sz="0" w:space="0" w:color="auto"/>
        <w:left w:val="none" w:sz="0" w:space="0" w:color="auto"/>
        <w:bottom w:val="none" w:sz="0" w:space="0" w:color="auto"/>
        <w:right w:val="none" w:sz="0" w:space="0" w:color="auto"/>
      </w:divBdr>
    </w:div>
    <w:div w:id="1757820150">
      <w:bodyDiv w:val="1"/>
      <w:marLeft w:val="0"/>
      <w:marRight w:val="0"/>
      <w:marTop w:val="0"/>
      <w:marBottom w:val="0"/>
      <w:divBdr>
        <w:top w:val="none" w:sz="0" w:space="0" w:color="auto"/>
        <w:left w:val="none" w:sz="0" w:space="0" w:color="auto"/>
        <w:bottom w:val="none" w:sz="0" w:space="0" w:color="auto"/>
        <w:right w:val="none" w:sz="0" w:space="0" w:color="auto"/>
      </w:divBdr>
    </w:div>
    <w:div w:id="1764452766">
      <w:bodyDiv w:val="1"/>
      <w:marLeft w:val="0"/>
      <w:marRight w:val="0"/>
      <w:marTop w:val="0"/>
      <w:marBottom w:val="0"/>
      <w:divBdr>
        <w:top w:val="none" w:sz="0" w:space="0" w:color="auto"/>
        <w:left w:val="none" w:sz="0" w:space="0" w:color="auto"/>
        <w:bottom w:val="none" w:sz="0" w:space="0" w:color="auto"/>
        <w:right w:val="none" w:sz="0" w:space="0" w:color="auto"/>
      </w:divBdr>
    </w:div>
    <w:div w:id="1771702950">
      <w:bodyDiv w:val="1"/>
      <w:marLeft w:val="0"/>
      <w:marRight w:val="0"/>
      <w:marTop w:val="0"/>
      <w:marBottom w:val="0"/>
      <w:divBdr>
        <w:top w:val="none" w:sz="0" w:space="0" w:color="auto"/>
        <w:left w:val="none" w:sz="0" w:space="0" w:color="auto"/>
        <w:bottom w:val="none" w:sz="0" w:space="0" w:color="auto"/>
        <w:right w:val="none" w:sz="0" w:space="0" w:color="auto"/>
      </w:divBdr>
    </w:div>
    <w:div w:id="1802530134">
      <w:bodyDiv w:val="1"/>
      <w:marLeft w:val="0"/>
      <w:marRight w:val="0"/>
      <w:marTop w:val="0"/>
      <w:marBottom w:val="0"/>
      <w:divBdr>
        <w:top w:val="none" w:sz="0" w:space="0" w:color="auto"/>
        <w:left w:val="none" w:sz="0" w:space="0" w:color="auto"/>
        <w:bottom w:val="none" w:sz="0" w:space="0" w:color="auto"/>
        <w:right w:val="none" w:sz="0" w:space="0" w:color="auto"/>
      </w:divBdr>
    </w:div>
    <w:div w:id="1816486318">
      <w:bodyDiv w:val="1"/>
      <w:marLeft w:val="0"/>
      <w:marRight w:val="0"/>
      <w:marTop w:val="0"/>
      <w:marBottom w:val="0"/>
      <w:divBdr>
        <w:top w:val="none" w:sz="0" w:space="0" w:color="auto"/>
        <w:left w:val="none" w:sz="0" w:space="0" w:color="auto"/>
        <w:bottom w:val="none" w:sz="0" w:space="0" w:color="auto"/>
        <w:right w:val="none" w:sz="0" w:space="0" w:color="auto"/>
      </w:divBdr>
    </w:div>
    <w:div w:id="1843200482">
      <w:bodyDiv w:val="1"/>
      <w:marLeft w:val="0"/>
      <w:marRight w:val="0"/>
      <w:marTop w:val="0"/>
      <w:marBottom w:val="0"/>
      <w:divBdr>
        <w:top w:val="none" w:sz="0" w:space="0" w:color="auto"/>
        <w:left w:val="none" w:sz="0" w:space="0" w:color="auto"/>
        <w:bottom w:val="none" w:sz="0" w:space="0" w:color="auto"/>
        <w:right w:val="none" w:sz="0" w:space="0" w:color="auto"/>
      </w:divBdr>
    </w:div>
    <w:div w:id="1968852184">
      <w:bodyDiv w:val="1"/>
      <w:marLeft w:val="0"/>
      <w:marRight w:val="0"/>
      <w:marTop w:val="0"/>
      <w:marBottom w:val="0"/>
      <w:divBdr>
        <w:top w:val="none" w:sz="0" w:space="0" w:color="auto"/>
        <w:left w:val="none" w:sz="0" w:space="0" w:color="auto"/>
        <w:bottom w:val="none" w:sz="0" w:space="0" w:color="auto"/>
        <w:right w:val="none" w:sz="0" w:space="0" w:color="auto"/>
      </w:divBdr>
    </w:div>
    <w:div w:id="1979914029">
      <w:bodyDiv w:val="1"/>
      <w:marLeft w:val="0"/>
      <w:marRight w:val="0"/>
      <w:marTop w:val="0"/>
      <w:marBottom w:val="0"/>
      <w:divBdr>
        <w:top w:val="none" w:sz="0" w:space="0" w:color="auto"/>
        <w:left w:val="none" w:sz="0" w:space="0" w:color="auto"/>
        <w:bottom w:val="none" w:sz="0" w:space="0" w:color="auto"/>
        <w:right w:val="none" w:sz="0" w:space="0" w:color="auto"/>
      </w:divBdr>
    </w:div>
    <w:div w:id="1995647070">
      <w:bodyDiv w:val="1"/>
      <w:marLeft w:val="0"/>
      <w:marRight w:val="0"/>
      <w:marTop w:val="0"/>
      <w:marBottom w:val="0"/>
      <w:divBdr>
        <w:top w:val="none" w:sz="0" w:space="0" w:color="auto"/>
        <w:left w:val="none" w:sz="0" w:space="0" w:color="auto"/>
        <w:bottom w:val="none" w:sz="0" w:space="0" w:color="auto"/>
        <w:right w:val="none" w:sz="0" w:space="0" w:color="auto"/>
      </w:divBdr>
    </w:div>
    <w:div w:id="2021469093">
      <w:bodyDiv w:val="1"/>
      <w:marLeft w:val="0"/>
      <w:marRight w:val="0"/>
      <w:marTop w:val="0"/>
      <w:marBottom w:val="0"/>
      <w:divBdr>
        <w:top w:val="none" w:sz="0" w:space="0" w:color="auto"/>
        <w:left w:val="none" w:sz="0" w:space="0" w:color="auto"/>
        <w:bottom w:val="none" w:sz="0" w:space="0" w:color="auto"/>
        <w:right w:val="none" w:sz="0" w:space="0" w:color="auto"/>
      </w:divBdr>
    </w:div>
    <w:div w:id="2022463004">
      <w:bodyDiv w:val="1"/>
      <w:marLeft w:val="0"/>
      <w:marRight w:val="0"/>
      <w:marTop w:val="0"/>
      <w:marBottom w:val="0"/>
      <w:divBdr>
        <w:top w:val="none" w:sz="0" w:space="0" w:color="auto"/>
        <w:left w:val="none" w:sz="0" w:space="0" w:color="auto"/>
        <w:bottom w:val="none" w:sz="0" w:space="0" w:color="auto"/>
        <w:right w:val="none" w:sz="0" w:space="0" w:color="auto"/>
      </w:divBdr>
    </w:div>
    <w:div w:id="2060275489">
      <w:bodyDiv w:val="1"/>
      <w:marLeft w:val="0"/>
      <w:marRight w:val="0"/>
      <w:marTop w:val="0"/>
      <w:marBottom w:val="0"/>
      <w:divBdr>
        <w:top w:val="none" w:sz="0" w:space="0" w:color="auto"/>
        <w:left w:val="none" w:sz="0" w:space="0" w:color="auto"/>
        <w:bottom w:val="none" w:sz="0" w:space="0" w:color="auto"/>
        <w:right w:val="none" w:sz="0" w:space="0" w:color="auto"/>
      </w:divBdr>
    </w:div>
    <w:div w:id="2079595099">
      <w:bodyDiv w:val="1"/>
      <w:marLeft w:val="0"/>
      <w:marRight w:val="0"/>
      <w:marTop w:val="0"/>
      <w:marBottom w:val="0"/>
      <w:divBdr>
        <w:top w:val="none" w:sz="0" w:space="0" w:color="auto"/>
        <w:left w:val="none" w:sz="0" w:space="0" w:color="auto"/>
        <w:bottom w:val="none" w:sz="0" w:space="0" w:color="auto"/>
        <w:right w:val="none" w:sz="0" w:space="0" w:color="auto"/>
      </w:divBdr>
    </w:div>
    <w:div w:id="21005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https://www.architectural-review.com/essays/architecture-workers-of-the-world-unit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mediaplatformplus.precise.co.uk/review.aspx"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s://www.architectsjournal.co.uk/news/architect-reprimanded-after-calling-council-officer-the-c-wor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www.bdonline.co.uk/news/arb-reports-50-plunge-in-applications-from-eu-architects/5112705.article"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www.housingtoday.co.uk/news/building-safety-bill-is-industrys-opportunity-to-embrace-far-reaching-change/5112631.article" TargetMode="External"/><Relationship Id="rId28" Type="http://schemas.openxmlformats.org/officeDocument/2006/relationships/fontTable" Target="fontTable.xml"/><Relationship Id="rId10" Type="http://schemas.openxmlformats.org/officeDocument/2006/relationships/hyperlink" Target="tel:00442075805861" TargetMode="External"/><Relationship Id="rId19" Type="http://schemas.openxmlformats.org/officeDocument/2006/relationships/hyperlink" Target="https://www.bdonline.co.uk/news/profession-cheers-decision-to-recognise-qualifications-of-overseas-architects/5112181.article" TargetMode="External"/><Relationship Id="rId4" Type="http://schemas.openxmlformats.org/officeDocument/2006/relationships/settings" Target="settings.xml"/><Relationship Id="rId9" Type="http://schemas.openxmlformats.org/officeDocument/2006/relationships/hyperlink" Target="mailto:HughS@arb.org.uk" TargetMode="External"/><Relationship Id="rId14" Type="http://schemas.openxmlformats.org/officeDocument/2006/relationships/chart" Target="charts/chart4.xml"/><Relationship Id="rId22" Type="http://schemas.openxmlformats.org/officeDocument/2006/relationships/hyperlink" Target="https://www.architectsjournal.co.uk/news/architect-numbers-fall-after-plunge-in-eu-applications" TargetMode="Externa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FILEPRNT\Documents\Communications\2021\Digital\Digital%20engagement%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PRNT\Documents\Communications\2021\Digital\Digital%20engagement%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ILEPRNT\Documents\Communications\2021\Digital\Digital%20engagement%20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ILEPRNT\Documents\Communications\2021\Digital\Digital%20engagement%20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ILEPRNT\Documents\Communications\2021\Digital\Digital%20engagement%20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ILEPRNT\Documents\Communications\2021\Digital\Digital%20engagement%2020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ILEPRNT\Documents\Communications\2021\Digital\Digital%20engagement%202021.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Sessions from social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Website!$A$52</c:f>
              <c:strCache>
                <c:ptCount val="1"/>
                <c:pt idx="0">
                  <c:v>Sessions from social</c:v>
                </c:pt>
              </c:strCache>
            </c:strRef>
          </c:tx>
          <c:spPr>
            <a:ln w="28575" cap="rnd">
              <a:solidFill>
                <a:schemeClr val="accent1"/>
              </a:solidFill>
              <a:round/>
            </a:ln>
            <a:effectLst/>
          </c:spPr>
          <c:marker>
            <c:symbol val="none"/>
          </c:marker>
          <c:cat>
            <c:strRef>
              <c:f>Website!$B$51:$G$51</c:f>
              <c:strCache>
                <c:ptCount val="6"/>
                <c:pt idx="0">
                  <c:v>Jan</c:v>
                </c:pt>
                <c:pt idx="1">
                  <c:v>Feb</c:v>
                </c:pt>
                <c:pt idx="2">
                  <c:v>Mar</c:v>
                </c:pt>
                <c:pt idx="3">
                  <c:v>Apr</c:v>
                </c:pt>
                <c:pt idx="4">
                  <c:v>May</c:v>
                </c:pt>
                <c:pt idx="5">
                  <c:v>June</c:v>
                </c:pt>
              </c:strCache>
            </c:strRef>
          </c:cat>
          <c:val>
            <c:numRef>
              <c:f>Website!$B$52:$G$52</c:f>
              <c:numCache>
                <c:formatCode>General</c:formatCode>
                <c:ptCount val="6"/>
                <c:pt idx="0">
                  <c:v>390</c:v>
                </c:pt>
                <c:pt idx="1">
                  <c:v>474</c:v>
                </c:pt>
                <c:pt idx="2">
                  <c:v>612</c:v>
                </c:pt>
                <c:pt idx="3">
                  <c:v>458</c:v>
                </c:pt>
                <c:pt idx="4">
                  <c:v>222</c:v>
                </c:pt>
                <c:pt idx="5">
                  <c:v>384</c:v>
                </c:pt>
              </c:numCache>
            </c:numRef>
          </c:val>
          <c:smooth val="0"/>
          <c:extLst>
            <c:ext xmlns:c16="http://schemas.microsoft.com/office/drawing/2014/chart" uri="{C3380CC4-5D6E-409C-BE32-E72D297353CC}">
              <c16:uniqueId val="{00000000-AC51-4F0C-8B44-3A146D17050B}"/>
            </c:ext>
          </c:extLst>
        </c:ser>
        <c:ser>
          <c:idx val="1"/>
          <c:order val="1"/>
          <c:tx>
            <c:strRef>
              <c:f>Website!$A$53</c:f>
              <c:strCache>
                <c:ptCount val="1"/>
                <c:pt idx="0">
                  <c:v>Average sessions from social per month</c:v>
                </c:pt>
              </c:strCache>
            </c:strRef>
          </c:tx>
          <c:spPr>
            <a:ln w="28575" cap="rnd">
              <a:solidFill>
                <a:schemeClr val="accent2"/>
              </a:solidFill>
              <a:round/>
            </a:ln>
            <a:effectLst/>
          </c:spPr>
          <c:marker>
            <c:symbol val="none"/>
          </c:marker>
          <c:cat>
            <c:strRef>
              <c:f>Website!$B$51:$G$51</c:f>
              <c:strCache>
                <c:ptCount val="6"/>
                <c:pt idx="0">
                  <c:v>Jan</c:v>
                </c:pt>
                <c:pt idx="1">
                  <c:v>Feb</c:v>
                </c:pt>
                <c:pt idx="2">
                  <c:v>Mar</c:v>
                </c:pt>
                <c:pt idx="3">
                  <c:v>Apr</c:v>
                </c:pt>
                <c:pt idx="4">
                  <c:v>May</c:v>
                </c:pt>
                <c:pt idx="5">
                  <c:v>June</c:v>
                </c:pt>
              </c:strCache>
            </c:strRef>
          </c:cat>
          <c:val>
            <c:numRef>
              <c:f>Website!$B$53:$G$53</c:f>
              <c:numCache>
                <c:formatCode>#,##0</c:formatCode>
                <c:ptCount val="6"/>
                <c:pt idx="0">
                  <c:v>423.33333333333331</c:v>
                </c:pt>
                <c:pt idx="1">
                  <c:v>423.33333333333331</c:v>
                </c:pt>
                <c:pt idx="2">
                  <c:v>423.33333333333331</c:v>
                </c:pt>
                <c:pt idx="3">
                  <c:v>423.33333333333331</c:v>
                </c:pt>
                <c:pt idx="4">
                  <c:v>423.33333333333331</c:v>
                </c:pt>
                <c:pt idx="5">
                  <c:v>423.33333333333331</c:v>
                </c:pt>
              </c:numCache>
            </c:numRef>
          </c:val>
          <c:smooth val="0"/>
          <c:extLst>
            <c:ext xmlns:c16="http://schemas.microsoft.com/office/drawing/2014/chart" uri="{C3380CC4-5D6E-409C-BE32-E72D297353CC}">
              <c16:uniqueId val="{00000001-AC51-4F0C-8B44-3A146D17050B}"/>
            </c:ext>
          </c:extLst>
        </c:ser>
        <c:dLbls>
          <c:showLegendKey val="0"/>
          <c:showVal val="0"/>
          <c:showCatName val="0"/>
          <c:showSerName val="0"/>
          <c:showPercent val="0"/>
          <c:showBubbleSize val="0"/>
        </c:dLbls>
        <c:smooth val="0"/>
        <c:axId val="1590682560"/>
        <c:axId val="1590686304"/>
      </c:lineChart>
      <c:catAx>
        <c:axId val="159068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0686304"/>
        <c:crosses val="autoZero"/>
        <c:auto val="1"/>
        <c:lblAlgn val="ctr"/>
        <c:lblOffset val="100"/>
        <c:noMultiLvlLbl val="0"/>
      </c:catAx>
      <c:valAx>
        <c:axId val="1590686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0682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Sessions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Website!$A$49</c:f>
              <c:strCache>
                <c:ptCount val="1"/>
                <c:pt idx="0">
                  <c:v>Sessions</c:v>
                </c:pt>
              </c:strCache>
            </c:strRef>
          </c:tx>
          <c:spPr>
            <a:ln w="28575" cap="rnd">
              <a:solidFill>
                <a:schemeClr val="accent1"/>
              </a:solidFill>
              <a:round/>
            </a:ln>
            <a:effectLst/>
          </c:spPr>
          <c:marker>
            <c:symbol val="none"/>
          </c:marker>
          <c:cat>
            <c:strRef>
              <c:f>Website!$B$48:$G$48</c:f>
              <c:strCache>
                <c:ptCount val="6"/>
                <c:pt idx="0">
                  <c:v>Jan</c:v>
                </c:pt>
                <c:pt idx="1">
                  <c:v>Feb</c:v>
                </c:pt>
                <c:pt idx="2">
                  <c:v>Mar</c:v>
                </c:pt>
                <c:pt idx="3">
                  <c:v>Apr</c:v>
                </c:pt>
                <c:pt idx="4">
                  <c:v>May</c:v>
                </c:pt>
                <c:pt idx="5">
                  <c:v>June</c:v>
                </c:pt>
              </c:strCache>
            </c:strRef>
          </c:cat>
          <c:val>
            <c:numRef>
              <c:f>Website!$B$49:$G$49</c:f>
              <c:numCache>
                <c:formatCode>#,##0</c:formatCode>
                <c:ptCount val="6"/>
                <c:pt idx="0">
                  <c:v>34101</c:v>
                </c:pt>
                <c:pt idx="1">
                  <c:v>29080</c:v>
                </c:pt>
                <c:pt idx="2">
                  <c:v>37104</c:v>
                </c:pt>
                <c:pt idx="3">
                  <c:v>27572</c:v>
                </c:pt>
                <c:pt idx="4" formatCode="General">
                  <c:v>24986</c:v>
                </c:pt>
                <c:pt idx="5" formatCode="General">
                  <c:v>24874</c:v>
                </c:pt>
              </c:numCache>
            </c:numRef>
          </c:val>
          <c:smooth val="0"/>
          <c:extLst>
            <c:ext xmlns:c16="http://schemas.microsoft.com/office/drawing/2014/chart" uri="{C3380CC4-5D6E-409C-BE32-E72D297353CC}">
              <c16:uniqueId val="{00000000-578B-427C-9E56-CA53229E32C9}"/>
            </c:ext>
          </c:extLst>
        </c:ser>
        <c:ser>
          <c:idx val="1"/>
          <c:order val="1"/>
          <c:tx>
            <c:strRef>
              <c:f>Website!$A$50</c:f>
              <c:strCache>
                <c:ptCount val="1"/>
                <c:pt idx="0">
                  <c:v>Average sessions per month</c:v>
                </c:pt>
              </c:strCache>
            </c:strRef>
          </c:tx>
          <c:spPr>
            <a:ln w="28575" cap="rnd">
              <a:solidFill>
                <a:schemeClr val="accent2"/>
              </a:solidFill>
              <a:round/>
            </a:ln>
            <a:effectLst/>
          </c:spPr>
          <c:marker>
            <c:symbol val="none"/>
          </c:marker>
          <c:cat>
            <c:strRef>
              <c:f>Website!$B$48:$G$48</c:f>
              <c:strCache>
                <c:ptCount val="6"/>
                <c:pt idx="0">
                  <c:v>Jan</c:v>
                </c:pt>
                <c:pt idx="1">
                  <c:v>Feb</c:v>
                </c:pt>
                <c:pt idx="2">
                  <c:v>Mar</c:v>
                </c:pt>
                <c:pt idx="3">
                  <c:v>Apr</c:v>
                </c:pt>
                <c:pt idx="4">
                  <c:v>May</c:v>
                </c:pt>
                <c:pt idx="5">
                  <c:v>June</c:v>
                </c:pt>
              </c:strCache>
            </c:strRef>
          </c:cat>
          <c:val>
            <c:numRef>
              <c:f>Website!$B$50:$G$50</c:f>
              <c:numCache>
                <c:formatCode>#,##0</c:formatCode>
                <c:ptCount val="6"/>
                <c:pt idx="0">
                  <c:v>29619.5</c:v>
                </c:pt>
                <c:pt idx="1">
                  <c:v>29619.5</c:v>
                </c:pt>
                <c:pt idx="2">
                  <c:v>29619.5</c:v>
                </c:pt>
                <c:pt idx="3">
                  <c:v>29619.5</c:v>
                </c:pt>
                <c:pt idx="4">
                  <c:v>29619.5</c:v>
                </c:pt>
                <c:pt idx="5">
                  <c:v>29619.5</c:v>
                </c:pt>
              </c:numCache>
            </c:numRef>
          </c:val>
          <c:smooth val="0"/>
          <c:extLst>
            <c:ext xmlns:c16="http://schemas.microsoft.com/office/drawing/2014/chart" uri="{C3380CC4-5D6E-409C-BE32-E72D297353CC}">
              <c16:uniqueId val="{00000001-578B-427C-9E56-CA53229E32C9}"/>
            </c:ext>
          </c:extLst>
        </c:ser>
        <c:dLbls>
          <c:showLegendKey val="0"/>
          <c:showVal val="0"/>
          <c:showCatName val="0"/>
          <c:showSerName val="0"/>
          <c:showPercent val="0"/>
          <c:showBubbleSize val="0"/>
        </c:dLbls>
        <c:smooth val="0"/>
        <c:axId val="1775916704"/>
        <c:axId val="1775921696"/>
      </c:lineChart>
      <c:catAx>
        <c:axId val="177591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5921696"/>
        <c:crosses val="autoZero"/>
        <c:auto val="1"/>
        <c:lblAlgn val="ctr"/>
        <c:lblOffset val="100"/>
        <c:noMultiLvlLbl val="0"/>
      </c:catAx>
      <c:valAx>
        <c:axId val="1775921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5916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Users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Website!$A$55</c:f>
              <c:strCache>
                <c:ptCount val="1"/>
                <c:pt idx="0">
                  <c:v>Users</c:v>
                </c:pt>
              </c:strCache>
            </c:strRef>
          </c:tx>
          <c:spPr>
            <a:ln w="28575" cap="rnd">
              <a:solidFill>
                <a:schemeClr val="accent1"/>
              </a:solidFill>
              <a:round/>
            </a:ln>
            <a:effectLst/>
          </c:spPr>
          <c:marker>
            <c:symbol val="none"/>
          </c:marker>
          <c:cat>
            <c:strRef>
              <c:f>Website!$B$54:$G$54</c:f>
              <c:strCache>
                <c:ptCount val="6"/>
                <c:pt idx="0">
                  <c:v>Jan</c:v>
                </c:pt>
                <c:pt idx="1">
                  <c:v>Feb</c:v>
                </c:pt>
                <c:pt idx="2">
                  <c:v>Mar</c:v>
                </c:pt>
                <c:pt idx="3">
                  <c:v>Apr</c:v>
                </c:pt>
                <c:pt idx="4">
                  <c:v>May</c:v>
                </c:pt>
                <c:pt idx="5">
                  <c:v>June</c:v>
                </c:pt>
              </c:strCache>
            </c:strRef>
          </c:cat>
          <c:val>
            <c:numRef>
              <c:f>Website!$B$55:$G$55</c:f>
              <c:numCache>
                <c:formatCode>#,##0</c:formatCode>
                <c:ptCount val="6"/>
                <c:pt idx="0">
                  <c:v>24031</c:v>
                </c:pt>
                <c:pt idx="1">
                  <c:v>20747</c:v>
                </c:pt>
                <c:pt idx="2">
                  <c:v>27017</c:v>
                </c:pt>
                <c:pt idx="3">
                  <c:v>19412</c:v>
                </c:pt>
                <c:pt idx="4" formatCode="General">
                  <c:v>18302</c:v>
                </c:pt>
                <c:pt idx="5">
                  <c:v>17997</c:v>
                </c:pt>
              </c:numCache>
            </c:numRef>
          </c:val>
          <c:smooth val="0"/>
          <c:extLst>
            <c:ext xmlns:c16="http://schemas.microsoft.com/office/drawing/2014/chart" uri="{C3380CC4-5D6E-409C-BE32-E72D297353CC}">
              <c16:uniqueId val="{00000000-A839-4B7B-99A1-2CF113015BE1}"/>
            </c:ext>
          </c:extLst>
        </c:ser>
        <c:ser>
          <c:idx val="1"/>
          <c:order val="1"/>
          <c:tx>
            <c:strRef>
              <c:f>Website!$A$56</c:f>
              <c:strCache>
                <c:ptCount val="1"/>
                <c:pt idx="0">
                  <c:v>Average users per month</c:v>
                </c:pt>
              </c:strCache>
            </c:strRef>
          </c:tx>
          <c:spPr>
            <a:ln w="28575" cap="rnd">
              <a:solidFill>
                <a:schemeClr val="accent2"/>
              </a:solidFill>
              <a:round/>
            </a:ln>
            <a:effectLst/>
          </c:spPr>
          <c:marker>
            <c:symbol val="none"/>
          </c:marker>
          <c:cat>
            <c:strRef>
              <c:f>Website!$B$54:$G$54</c:f>
              <c:strCache>
                <c:ptCount val="6"/>
                <c:pt idx="0">
                  <c:v>Jan</c:v>
                </c:pt>
                <c:pt idx="1">
                  <c:v>Feb</c:v>
                </c:pt>
                <c:pt idx="2">
                  <c:v>Mar</c:v>
                </c:pt>
                <c:pt idx="3">
                  <c:v>Apr</c:v>
                </c:pt>
                <c:pt idx="4">
                  <c:v>May</c:v>
                </c:pt>
                <c:pt idx="5">
                  <c:v>June</c:v>
                </c:pt>
              </c:strCache>
            </c:strRef>
          </c:cat>
          <c:val>
            <c:numRef>
              <c:f>Website!$B$56:$G$56</c:f>
              <c:numCache>
                <c:formatCode>#,##0</c:formatCode>
                <c:ptCount val="6"/>
                <c:pt idx="0">
                  <c:v>21251</c:v>
                </c:pt>
                <c:pt idx="1">
                  <c:v>21251</c:v>
                </c:pt>
                <c:pt idx="2">
                  <c:v>21251</c:v>
                </c:pt>
                <c:pt idx="3">
                  <c:v>21251</c:v>
                </c:pt>
                <c:pt idx="4">
                  <c:v>21251</c:v>
                </c:pt>
                <c:pt idx="5">
                  <c:v>21251</c:v>
                </c:pt>
              </c:numCache>
            </c:numRef>
          </c:val>
          <c:smooth val="0"/>
          <c:extLst>
            <c:ext xmlns:c16="http://schemas.microsoft.com/office/drawing/2014/chart" uri="{C3380CC4-5D6E-409C-BE32-E72D297353CC}">
              <c16:uniqueId val="{00000001-A839-4B7B-99A1-2CF113015BE1}"/>
            </c:ext>
          </c:extLst>
        </c:ser>
        <c:dLbls>
          <c:showLegendKey val="0"/>
          <c:showVal val="0"/>
          <c:showCatName val="0"/>
          <c:showSerName val="0"/>
          <c:showPercent val="0"/>
          <c:showBubbleSize val="0"/>
        </c:dLbls>
        <c:smooth val="0"/>
        <c:axId val="1775910880"/>
        <c:axId val="1775922528"/>
      </c:lineChart>
      <c:catAx>
        <c:axId val="177591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5922528"/>
        <c:crosses val="autoZero"/>
        <c:auto val="1"/>
        <c:lblAlgn val="ctr"/>
        <c:lblOffset val="100"/>
        <c:noMultiLvlLbl val="0"/>
      </c:catAx>
      <c:valAx>
        <c:axId val="1775922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5910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Pageviews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Website!$A$58</c:f>
              <c:strCache>
                <c:ptCount val="1"/>
                <c:pt idx="0">
                  <c:v>Pageviews</c:v>
                </c:pt>
              </c:strCache>
            </c:strRef>
          </c:tx>
          <c:spPr>
            <a:ln w="28575" cap="rnd">
              <a:solidFill>
                <a:schemeClr val="accent1"/>
              </a:solidFill>
              <a:round/>
            </a:ln>
            <a:effectLst/>
          </c:spPr>
          <c:marker>
            <c:symbol val="none"/>
          </c:marker>
          <c:cat>
            <c:strRef>
              <c:f>Website!$B$57:$G$57</c:f>
              <c:strCache>
                <c:ptCount val="6"/>
                <c:pt idx="0">
                  <c:v>Jan</c:v>
                </c:pt>
                <c:pt idx="1">
                  <c:v>Feb</c:v>
                </c:pt>
                <c:pt idx="2">
                  <c:v>Mar</c:v>
                </c:pt>
                <c:pt idx="3">
                  <c:v>Apr</c:v>
                </c:pt>
                <c:pt idx="4">
                  <c:v>May</c:v>
                </c:pt>
                <c:pt idx="5">
                  <c:v>June</c:v>
                </c:pt>
              </c:strCache>
            </c:strRef>
          </c:cat>
          <c:val>
            <c:numRef>
              <c:f>Website!$B$58:$G$58</c:f>
              <c:numCache>
                <c:formatCode>#,##0</c:formatCode>
                <c:ptCount val="6"/>
                <c:pt idx="0">
                  <c:v>82959</c:v>
                </c:pt>
                <c:pt idx="1">
                  <c:v>69017</c:v>
                </c:pt>
                <c:pt idx="2">
                  <c:v>80210</c:v>
                </c:pt>
                <c:pt idx="3">
                  <c:v>62658</c:v>
                </c:pt>
                <c:pt idx="4" formatCode="General">
                  <c:v>57924</c:v>
                </c:pt>
                <c:pt idx="5" formatCode="General">
                  <c:v>57076</c:v>
                </c:pt>
              </c:numCache>
            </c:numRef>
          </c:val>
          <c:smooth val="0"/>
          <c:extLst>
            <c:ext xmlns:c16="http://schemas.microsoft.com/office/drawing/2014/chart" uri="{C3380CC4-5D6E-409C-BE32-E72D297353CC}">
              <c16:uniqueId val="{00000000-70EC-4231-8360-934E347BE1F0}"/>
            </c:ext>
          </c:extLst>
        </c:ser>
        <c:ser>
          <c:idx val="1"/>
          <c:order val="1"/>
          <c:tx>
            <c:strRef>
              <c:f>Website!$A$59</c:f>
              <c:strCache>
                <c:ptCount val="1"/>
                <c:pt idx="0">
                  <c:v>Average pageviews per month</c:v>
                </c:pt>
              </c:strCache>
            </c:strRef>
          </c:tx>
          <c:spPr>
            <a:ln w="28575" cap="rnd">
              <a:solidFill>
                <a:schemeClr val="accent2"/>
              </a:solidFill>
              <a:round/>
            </a:ln>
            <a:effectLst/>
          </c:spPr>
          <c:marker>
            <c:symbol val="none"/>
          </c:marker>
          <c:cat>
            <c:strRef>
              <c:f>Website!$B$57:$G$57</c:f>
              <c:strCache>
                <c:ptCount val="6"/>
                <c:pt idx="0">
                  <c:v>Jan</c:v>
                </c:pt>
                <c:pt idx="1">
                  <c:v>Feb</c:v>
                </c:pt>
                <c:pt idx="2">
                  <c:v>Mar</c:v>
                </c:pt>
                <c:pt idx="3">
                  <c:v>Apr</c:v>
                </c:pt>
                <c:pt idx="4">
                  <c:v>May</c:v>
                </c:pt>
                <c:pt idx="5">
                  <c:v>June</c:v>
                </c:pt>
              </c:strCache>
            </c:strRef>
          </c:cat>
          <c:val>
            <c:numRef>
              <c:f>Website!$B$59:$G$59</c:f>
              <c:numCache>
                <c:formatCode>#,##0</c:formatCode>
                <c:ptCount val="6"/>
                <c:pt idx="0">
                  <c:v>68307.333333333328</c:v>
                </c:pt>
                <c:pt idx="1">
                  <c:v>68307.333333333328</c:v>
                </c:pt>
                <c:pt idx="2">
                  <c:v>68307.333333333328</c:v>
                </c:pt>
                <c:pt idx="3">
                  <c:v>68307.333333333328</c:v>
                </c:pt>
                <c:pt idx="4">
                  <c:v>68307.333333333328</c:v>
                </c:pt>
                <c:pt idx="5">
                  <c:v>68307.333333333328</c:v>
                </c:pt>
              </c:numCache>
            </c:numRef>
          </c:val>
          <c:smooth val="0"/>
          <c:extLst>
            <c:ext xmlns:c16="http://schemas.microsoft.com/office/drawing/2014/chart" uri="{C3380CC4-5D6E-409C-BE32-E72D297353CC}">
              <c16:uniqueId val="{00000001-70EC-4231-8360-934E347BE1F0}"/>
            </c:ext>
          </c:extLst>
        </c:ser>
        <c:dLbls>
          <c:showLegendKey val="0"/>
          <c:showVal val="0"/>
          <c:showCatName val="0"/>
          <c:showSerName val="0"/>
          <c:showPercent val="0"/>
          <c:showBubbleSize val="0"/>
        </c:dLbls>
        <c:smooth val="0"/>
        <c:axId val="1773604608"/>
        <c:axId val="1773596704"/>
      </c:lineChart>
      <c:catAx>
        <c:axId val="177360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3596704"/>
        <c:crosses val="autoZero"/>
        <c:auto val="1"/>
        <c:lblAlgn val="ctr"/>
        <c:lblOffset val="100"/>
        <c:noMultiLvlLbl val="0"/>
      </c:catAx>
      <c:valAx>
        <c:axId val="1773596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3604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Facebook</a:t>
            </a:r>
            <a:r>
              <a:rPr lang="en-GB" baseline="0"/>
              <a:t> Engagement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Social!$A$51</c:f>
              <c:strCache>
                <c:ptCount val="1"/>
                <c:pt idx="0">
                  <c:v>Engagement rate</c:v>
                </c:pt>
              </c:strCache>
            </c:strRef>
          </c:tx>
          <c:spPr>
            <a:ln w="28575" cap="rnd">
              <a:solidFill>
                <a:schemeClr val="accent1"/>
              </a:solidFill>
              <a:round/>
            </a:ln>
            <a:effectLst/>
          </c:spPr>
          <c:marker>
            <c:symbol val="none"/>
          </c:marker>
          <c:cat>
            <c:strRef>
              <c:f>Social!$B$50:$G$50</c:f>
              <c:strCache>
                <c:ptCount val="6"/>
                <c:pt idx="0">
                  <c:v>Jan</c:v>
                </c:pt>
                <c:pt idx="1">
                  <c:v>Feb</c:v>
                </c:pt>
                <c:pt idx="2">
                  <c:v>Mar</c:v>
                </c:pt>
                <c:pt idx="3">
                  <c:v>Apr</c:v>
                </c:pt>
                <c:pt idx="4">
                  <c:v>May</c:v>
                </c:pt>
                <c:pt idx="5">
                  <c:v>June</c:v>
                </c:pt>
              </c:strCache>
            </c:strRef>
          </c:cat>
          <c:val>
            <c:numRef>
              <c:f>Social!$B$51:$G$51</c:f>
              <c:numCache>
                <c:formatCode>0.0%</c:formatCode>
                <c:ptCount val="6"/>
                <c:pt idx="0">
                  <c:v>8.0000000000000002E-3</c:v>
                </c:pt>
                <c:pt idx="1">
                  <c:v>8.9999999999999993E-3</c:v>
                </c:pt>
                <c:pt idx="2">
                  <c:v>1.7000000000000001E-2</c:v>
                </c:pt>
                <c:pt idx="3">
                  <c:v>5.0000000000000001E-3</c:v>
                </c:pt>
                <c:pt idx="4">
                  <c:v>2.5000000000000001E-2</c:v>
                </c:pt>
                <c:pt idx="5">
                  <c:v>3.7999999999999999E-2</c:v>
                </c:pt>
              </c:numCache>
            </c:numRef>
          </c:val>
          <c:smooth val="0"/>
          <c:extLst>
            <c:ext xmlns:c16="http://schemas.microsoft.com/office/drawing/2014/chart" uri="{C3380CC4-5D6E-409C-BE32-E72D297353CC}">
              <c16:uniqueId val="{00000000-AEA7-41EB-8DBC-57C91968C41C}"/>
            </c:ext>
          </c:extLst>
        </c:ser>
        <c:ser>
          <c:idx val="1"/>
          <c:order val="1"/>
          <c:tx>
            <c:strRef>
              <c:f>Social!$A$52</c:f>
              <c:strCache>
                <c:ptCount val="1"/>
                <c:pt idx="0">
                  <c:v>Average monthly engagement rate</c:v>
                </c:pt>
              </c:strCache>
            </c:strRef>
          </c:tx>
          <c:spPr>
            <a:ln w="28575" cap="rnd">
              <a:solidFill>
                <a:schemeClr val="accent2"/>
              </a:solidFill>
              <a:round/>
            </a:ln>
            <a:effectLst/>
          </c:spPr>
          <c:marker>
            <c:symbol val="none"/>
          </c:marker>
          <c:cat>
            <c:strRef>
              <c:f>Social!$B$50:$G$50</c:f>
              <c:strCache>
                <c:ptCount val="6"/>
                <c:pt idx="0">
                  <c:v>Jan</c:v>
                </c:pt>
                <c:pt idx="1">
                  <c:v>Feb</c:v>
                </c:pt>
                <c:pt idx="2">
                  <c:v>Mar</c:v>
                </c:pt>
                <c:pt idx="3">
                  <c:v>Apr</c:v>
                </c:pt>
                <c:pt idx="4">
                  <c:v>May</c:v>
                </c:pt>
                <c:pt idx="5">
                  <c:v>June</c:v>
                </c:pt>
              </c:strCache>
            </c:strRef>
          </c:cat>
          <c:val>
            <c:numRef>
              <c:f>Social!$B$52:$G$52</c:f>
              <c:numCache>
                <c:formatCode>0.0%</c:formatCode>
                <c:ptCount val="6"/>
                <c:pt idx="0">
                  <c:v>1.7000000000000001E-2</c:v>
                </c:pt>
                <c:pt idx="1">
                  <c:v>1.7000000000000001E-2</c:v>
                </c:pt>
                <c:pt idx="2">
                  <c:v>1.7000000000000001E-2</c:v>
                </c:pt>
                <c:pt idx="3">
                  <c:v>1.7000000000000001E-2</c:v>
                </c:pt>
                <c:pt idx="4">
                  <c:v>1.7000000000000001E-2</c:v>
                </c:pt>
                <c:pt idx="5">
                  <c:v>1.7000000000000001E-2</c:v>
                </c:pt>
              </c:numCache>
            </c:numRef>
          </c:val>
          <c:smooth val="0"/>
          <c:extLst>
            <c:ext xmlns:c16="http://schemas.microsoft.com/office/drawing/2014/chart" uri="{C3380CC4-5D6E-409C-BE32-E72D297353CC}">
              <c16:uniqueId val="{00000001-AEA7-41EB-8DBC-57C91968C41C}"/>
            </c:ext>
          </c:extLst>
        </c:ser>
        <c:dLbls>
          <c:showLegendKey val="0"/>
          <c:showVal val="0"/>
          <c:showCatName val="0"/>
          <c:showSerName val="0"/>
          <c:showPercent val="0"/>
          <c:showBubbleSize val="0"/>
        </c:dLbls>
        <c:smooth val="0"/>
        <c:axId val="1107853312"/>
        <c:axId val="1107854560"/>
      </c:lineChart>
      <c:catAx>
        <c:axId val="1107853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7854560"/>
        <c:crosses val="autoZero"/>
        <c:auto val="1"/>
        <c:lblAlgn val="ctr"/>
        <c:lblOffset val="100"/>
        <c:noMultiLvlLbl val="0"/>
      </c:catAx>
      <c:valAx>
        <c:axId val="11078545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7853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Twitter Engagement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Social!$A$45</c:f>
              <c:strCache>
                <c:ptCount val="1"/>
                <c:pt idx="0">
                  <c:v>Engagement rate</c:v>
                </c:pt>
              </c:strCache>
            </c:strRef>
          </c:tx>
          <c:spPr>
            <a:ln w="28575" cap="rnd">
              <a:solidFill>
                <a:schemeClr val="accent1"/>
              </a:solidFill>
              <a:round/>
            </a:ln>
            <a:effectLst/>
          </c:spPr>
          <c:marker>
            <c:symbol val="none"/>
          </c:marker>
          <c:cat>
            <c:strRef>
              <c:f>Social!$B$44:$G$44</c:f>
              <c:strCache>
                <c:ptCount val="6"/>
                <c:pt idx="0">
                  <c:v>Jan</c:v>
                </c:pt>
                <c:pt idx="1">
                  <c:v>Feb</c:v>
                </c:pt>
                <c:pt idx="2">
                  <c:v>Mar</c:v>
                </c:pt>
                <c:pt idx="3">
                  <c:v>Apr</c:v>
                </c:pt>
                <c:pt idx="4">
                  <c:v>May</c:v>
                </c:pt>
                <c:pt idx="5">
                  <c:v>June</c:v>
                </c:pt>
              </c:strCache>
            </c:strRef>
          </c:cat>
          <c:val>
            <c:numRef>
              <c:f>Social!$B$45:$G$45</c:f>
              <c:numCache>
                <c:formatCode>0.0%</c:formatCode>
                <c:ptCount val="6"/>
                <c:pt idx="0">
                  <c:v>1.4E-2</c:v>
                </c:pt>
                <c:pt idx="1">
                  <c:v>8.9999999999999993E-3</c:v>
                </c:pt>
                <c:pt idx="2">
                  <c:v>1.2999999999999999E-2</c:v>
                </c:pt>
                <c:pt idx="3">
                  <c:v>1.9E-2</c:v>
                </c:pt>
                <c:pt idx="4">
                  <c:v>1.7999999999999999E-2</c:v>
                </c:pt>
                <c:pt idx="5">
                  <c:v>1.2999999999999999E-2</c:v>
                </c:pt>
              </c:numCache>
            </c:numRef>
          </c:val>
          <c:smooth val="0"/>
          <c:extLst>
            <c:ext xmlns:c16="http://schemas.microsoft.com/office/drawing/2014/chart" uri="{C3380CC4-5D6E-409C-BE32-E72D297353CC}">
              <c16:uniqueId val="{00000000-5226-469F-86E2-653546DA4713}"/>
            </c:ext>
          </c:extLst>
        </c:ser>
        <c:ser>
          <c:idx val="1"/>
          <c:order val="1"/>
          <c:tx>
            <c:strRef>
              <c:f>Social!$A$46</c:f>
              <c:strCache>
                <c:ptCount val="1"/>
                <c:pt idx="0">
                  <c:v>Average monthly engagement rate</c:v>
                </c:pt>
              </c:strCache>
            </c:strRef>
          </c:tx>
          <c:spPr>
            <a:ln w="28575" cap="rnd">
              <a:solidFill>
                <a:schemeClr val="accent2"/>
              </a:solidFill>
              <a:round/>
            </a:ln>
            <a:effectLst/>
          </c:spPr>
          <c:marker>
            <c:symbol val="none"/>
          </c:marker>
          <c:cat>
            <c:strRef>
              <c:f>Social!$B$44:$G$44</c:f>
              <c:strCache>
                <c:ptCount val="6"/>
                <c:pt idx="0">
                  <c:v>Jan</c:v>
                </c:pt>
                <c:pt idx="1">
                  <c:v>Feb</c:v>
                </c:pt>
                <c:pt idx="2">
                  <c:v>Mar</c:v>
                </c:pt>
                <c:pt idx="3">
                  <c:v>Apr</c:v>
                </c:pt>
                <c:pt idx="4">
                  <c:v>May</c:v>
                </c:pt>
                <c:pt idx="5">
                  <c:v>June</c:v>
                </c:pt>
              </c:strCache>
            </c:strRef>
          </c:cat>
          <c:val>
            <c:numRef>
              <c:f>Social!$B$46:$G$46</c:f>
              <c:numCache>
                <c:formatCode>0.0%</c:formatCode>
                <c:ptCount val="6"/>
                <c:pt idx="0">
                  <c:v>1.4E-2</c:v>
                </c:pt>
                <c:pt idx="1">
                  <c:v>1.4E-2</c:v>
                </c:pt>
                <c:pt idx="2">
                  <c:v>1.4E-2</c:v>
                </c:pt>
                <c:pt idx="3">
                  <c:v>1.4E-2</c:v>
                </c:pt>
                <c:pt idx="4">
                  <c:v>1.4E-2</c:v>
                </c:pt>
                <c:pt idx="5">
                  <c:v>1.4E-2</c:v>
                </c:pt>
              </c:numCache>
            </c:numRef>
          </c:val>
          <c:smooth val="0"/>
          <c:extLst>
            <c:ext xmlns:c16="http://schemas.microsoft.com/office/drawing/2014/chart" uri="{C3380CC4-5D6E-409C-BE32-E72D297353CC}">
              <c16:uniqueId val="{00000001-5226-469F-86E2-653546DA4713}"/>
            </c:ext>
          </c:extLst>
        </c:ser>
        <c:dLbls>
          <c:showLegendKey val="0"/>
          <c:showVal val="0"/>
          <c:showCatName val="0"/>
          <c:showSerName val="0"/>
          <c:showPercent val="0"/>
          <c:showBubbleSize val="0"/>
        </c:dLbls>
        <c:smooth val="0"/>
        <c:axId val="1107867872"/>
        <c:axId val="1107874944"/>
      </c:lineChart>
      <c:catAx>
        <c:axId val="110786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7874944"/>
        <c:crosses val="autoZero"/>
        <c:auto val="1"/>
        <c:lblAlgn val="ctr"/>
        <c:lblOffset val="100"/>
        <c:noMultiLvlLbl val="0"/>
      </c:catAx>
      <c:valAx>
        <c:axId val="11078749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7867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LinkedIn Engagement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Social!$A$48</c:f>
              <c:strCache>
                <c:ptCount val="1"/>
                <c:pt idx="0">
                  <c:v>Engagement rate</c:v>
                </c:pt>
              </c:strCache>
            </c:strRef>
          </c:tx>
          <c:spPr>
            <a:ln w="28575" cap="rnd">
              <a:solidFill>
                <a:schemeClr val="accent1"/>
              </a:solidFill>
              <a:round/>
            </a:ln>
            <a:effectLst/>
          </c:spPr>
          <c:marker>
            <c:symbol val="none"/>
          </c:marker>
          <c:cat>
            <c:strRef>
              <c:f>Social!$B$47:$G$47</c:f>
              <c:strCache>
                <c:ptCount val="6"/>
                <c:pt idx="0">
                  <c:v>Jan</c:v>
                </c:pt>
                <c:pt idx="1">
                  <c:v>Feb</c:v>
                </c:pt>
                <c:pt idx="2">
                  <c:v>Mar</c:v>
                </c:pt>
                <c:pt idx="3">
                  <c:v>Apr</c:v>
                </c:pt>
                <c:pt idx="4">
                  <c:v>May</c:v>
                </c:pt>
                <c:pt idx="5">
                  <c:v>June</c:v>
                </c:pt>
              </c:strCache>
            </c:strRef>
          </c:cat>
          <c:val>
            <c:numRef>
              <c:f>Social!$B$48:$G$48</c:f>
              <c:numCache>
                <c:formatCode>0.0%</c:formatCode>
                <c:ptCount val="6"/>
                <c:pt idx="0">
                  <c:v>2.4156518267119186E-2</c:v>
                </c:pt>
                <c:pt idx="1">
                  <c:v>1.9940140708205389E-2</c:v>
                </c:pt>
                <c:pt idx="2">
                  <c:v>2.282881115833061E-2</c:v>
                </c:pt>
                <c:pt idx="3">
                  <c:v>1.0762777348493211E-2</c:v>
                </c:pt>
                <c:pt idx="4">
                  <c:v>2.8611667037284114E-2</c:v>
                </c:pt>
                <c:pt idx="5">
                  <c:v>3.0042918454935622E-2</c:v>
                </c:pt>
              </c:numCache>
            </c:numRef>
          </c:val>
          <c:smooth val="0"/>
          <c:extLst>
            <c:ext xmlns:c16="http://schemas.microsoft.com/office/drawing/2014/chart" uri="{C3380CC4-5D6E-409C-BE32-E72D297353CC}">
              <c16:uniqueId val="{00000000-4FFD-4221-8573-040DD4767EDE}"/>
            </c:ext>
          </c:extLst>
        </c:ser>
        <c:ser>
          <c:idx val="1"/>
          <c:order val="1"/>
          <c:tx>
            <c:strRef>
              <c:f>Social!$A$49</c:f>
              <c:strCache>
                <c:ptCount val="1"/>
                <c:pt idx="0">
                  <c:v>Average monthly engagement rate</c:v>
                </c:pt>
              </c:strCache>
            </c:strRef>
          </c:tx>
          <c:spPr>
            <a:ln w="28575" cap="rnd">
              <a:solidFill>
                <a:schemeClr val="accent2"/>
              </a:solidFill>
              <a:round/>
            </a:ln>
            <a:effectLst/>
          </c:spPr>
          <c:marker>
            <c:symbol val="none"/>
          </c:marker>
          <c:cat>
            <c:strRef>
              <c:f>Social!$B$47:$G$47</c:f>
              <c:strCache>
                <c:ptCount val="6"/>
                <c:pt idx="0">
                  <c:v>Jan</c:v>
                </c:pt>
                <c:pt idx="1">
                  <c:v>Feb</c:v>
                </c:pt>
                <c:pt idx="2">
                  <c:v>Mar</c:v>
                </c:pt>
                <c:pt idx="3">
                  <c:v>Apr</c:v>
                </c:pt>
                <c:pt idx="4">
                  <c:v>May</c:v>
                </c:pt>
                <c:pt idx="5">
                  <c:v>June</c:v>
                </c:pt>
              </c:strCache>
            </c:strRef>
          </c:cat>
          <c:val>
            <c:numRef>
              <c:f>Social!$B$49:$G$49</c:f>
              <c:numCache>
                <c:formatCode>0.0%</c:formatCode>
                <c:ptCount val="6"/>
                <c:pt idx="0">
                  <c:v>2.3E-2</c:v>
                </c:pt>
                <c:pt idx="1">
                  <c:v>2.3E-2</c:v>
                </c:pt>
                <c:pt idx="2">
                  <c:v>2.3E-2</c:v>
                </c:pt>
                <c:pt idx="3">
                  <c:v>2.3E-2</c:v>
                </c:pt>
                <c:pt idx="4">
                  <c:v>2.3E-2</c:v>
                </c:pt>
                <c:pt idx="5">
                  <c:v>2.3E-2</c:v>
                </c:pt>
              </c:numCache>
            </c:numRef>
          </c:val>
          <c:smooth val="0"/>
          <c:extLst>
            <c:ext xmlns:c16="http://schemas.microsoft.com/office/drawing/2014/chart" uri="{C3380CC4-5D6E-409C-BE32-E72D297353CC}">
              <c16:uniqueId val="{00000001-4FFD-4221-8573-040DD4767EDE}"/>
            </c:ext>
          </c:extLst>
        </c:ser>
        <c:dLbls>
          <c:showLegendKey val="0"/>
          <c:showVal val="0"/>
          <c:showCatName val="0"/>
          <c:showSerName val="0"/>
          <c:showPercent val="0"/>
          <c:showBubbleSize val="0"/>
        </c:dLbls>
        <c:smooth val="0"/>
        <c:axId val="1110206368"/>
        <c:axId val="1110203456"/>
      </c:lineChart>
      <c:catAx>
        <c:axId val="1110206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0203456"/>
        <c:crosses val="autoZero"/>
        <c:auto val="1"/>
        <c:lblAlgn val="ctr"/>
        <c:lblOffset val="100"/>
        <c:noMultiLvlLbl val="0"/>
      </c:catAx>
      <c:valAx>
        <c:axId val="11102034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0206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45BBD-7998-484C-B427-DF8B83C9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10</Pages>
  <Words>2847</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ARB Committee Paper</vt:lpstr>
    </vt:vector>
  </TitlesOfParts>
  <Company>ARB</Company>
  <LinksUpToDate>false</LinksUpToDate>
  <CharactersWithSpaces>19303</CharactersWithSpaces>
  <SharedDoc>false</SharedDoc>
  <HLinks>
    <vt:vector size="60" baseType="variant">
      <vt:variant>
        <vt:i4>6422574</vt:i4>
      </vt:variant>
      <vt:variant>
        <vt:i4>27</vt:i4>
      </vt:variant>
      <vt:variant>
        <vt:i4>0</vt:i4>
      </vt:variant>
      <vt:variant>
        <vt:i4>5</vt:i4>
      </vt:variant>
      <vt:variant>
        <vt:lpwstr>https://www.absnet.org.uk/</vt:lpwstr>
      </vt:variant>
      <vt:variant>
        <vt:lpwstr/>
      </vt:variant>
      <vt:variant>
        <vt:i4>7405609</vt:i4>
      </vt:variant>
      <vt:variant>
        <vt:i4>24</vt:i4>
      </vt:variant>
      <vt:variant>
        <vt:i4>0</vt:i4>
      </vt:variant>
      <vt:variant>
        <vt:i4>5</vt:i4>
      </vt:variant>
      <vt:variant>
        <vt:lpwstr>https://www.tradingstandards.uk/practitioners/symposium-2019/programme</vt:lpwstr>
      </vt:variant>
      <vt:variant>
        <vt:lpwstr/>
      </vt:variant>
      <vt:variant>
        <vt:i4>1900545</vt:i4>
      </vt:variant>
      <vt:variant>
        <vt:i4>21</vt:i4>
      </vt:variant>
      <vt:variant>
        <vt:i4>0</vt:i4>
      </vt:variant>
      <vt:variant>
        <vt:i4>5</vt:i4>
      </vt:variant>
      <vt:variant>
        <vt:lpwstr>https://www.tradingstandards.uk/</vt:lpwstr>
      </vt:variant>
      <vt:variant>
        <vt:lpwstr/>
      </vt:variant>
      <vt:variant>
        <vt:i4>6160474</vt:i4>
      </vt:variant>
      <vt:variant>
        <vt:i4>18</vt:i4>
      </vt:variant>
      <vt:variant>
        <vt:i4>0</vt:i4>
      </vt:variant>
      <vt:variant>
        <vt:i4>5</vt:i4>
      </vt:variant>
      <vt:variant>
        <vt:lpwstr>http://www.rsua.org.uk/about.aspx</vt:lpwstr>
      </vt:variant>
      <vt:variant>
        <vt:lpwstr/>
      </vt:variant>
      <vt:variant>
        <vt:i4>1507396</vt:i4>
      </vt:variant>
      <vt:variant>
        <vt:i4>15</vt:i4>
      </vt:variant>
      <vt:variant>
        <vt:i4>0</vt:i4>
      </vt:variant>
      <vt:variant>
        <vt:i4>5</vt:i4>
      </vt:variant>
      <vt:variant>
        <vt:lpwstr>https://www.rias.org.uk/about</vt:lpwstr>
      </vt:variant>
      <vt:variant>
        <vt:lpwstr/>
      </vt:variant>
      <vt:variant>
        <vt:i4>7864441</vt:i4>
      </vt:variant>
      <vt:variant>
        <vt:i4>12</vt:i4>
      </vt:variant>
      <vt:variant>
        <vt:i4>0</vt:i4>
      </vt:variant>
      <vt:variant>
        <vt:i4>5</vt:i4>
      </vt:variant>
      <vt:variant>
        <vt:lpwstr>https://www.facebook.com/Architecture-Students-Network-137245629707035/</vt:lpwstr>
      </vt:variant>
      <vt:variant>
        <vt:lpwstr/>
      </vt:variant>
      <vt:variant>
        <vt:i4>5898304</vt:i4>
      </vt:variant>
      <vt:variant>
        <vt:i4>9</vt:i4>
      </vt:variant>
      <vt:variant>
        <vt:i4>0</vt:i4>
      </vt:variant>
      <vt:variant>
        <vt:i4>5</vt:i4>
      </vt:variant>
      <vt:variant>
        <vt:lpwstr>http://www.schosa.org.uk/</vt:lpwstr>
      </vt:variant>
      <vt:variant>
        <vt:lpwstr/>
      </vt:variant>
      <vt:variant>
        <vt:i4>5570641</vt:i4>
      </vt:variant>
      <vt:variant>
        <vt:i4>6</vt:i4>
      </vt:variant>
      <vt:variant>
        <vt:i4>0</vt:i4>
      </vt:variant>
      <vt:variant>
        <vt:i4>5</vt:i4>
      </vt:variant>
      <vt:variant>
        <vt:lpwstr>https://www.qaa.ac.uk/en/home</vt:lpwstr>
      </vt:variant>
      <vt:variant>
        <vt:lpwstr/>
      </vt:variant>
      <vt:variant>
        <vt:i4>2424959</vt:i4>
      </vt:variant>
      <vt:variant>
        <vt:i4>3</vt:i4>
      </vt:variant>
      <vt:variant>
        <vt:i4>0</vt:i4>
      </vt:variant>
      <vt:variant>
        <vt:i4>5</vt:i4>
      </vt:variant>
      <vt:variant>
        <vt:lpwstr>https://www.gov.uk/government/collections/independent-review-of-building-regulations-and-fire-safety-hackitt-review</vt:lpwstr>
      </vt:variant>
      <vt:variant>
        <vt:lpwstr/>
      </vt:variant>
      <vt:variant>
        <vt:i4>4063320</vt:i4>
      </vt:variant>
      <vt:variant>
        <vt:i4>0</vt:i4>
      </vt:variant>
      <vt:variant>
        <vt:i4>0</vt:i4>
      </vt:variant>
      <vt:variant>
        <vt:i4>5</vt:i4>
      </vt:variant>
      <vt:variant>
        <vt:lpwstr>mailto:karenh@arb.org.uk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 Committee Paper</dc:title>
  <dc:creator>Vicky Aitchison</dc:creator>
  <cp:lastModifiedBy>Jodie James</cp:lastModifiedBy>
  <cp:revision>26</cp:revision>
  <cp:lastPrinted>2018-11-15T07:44:00Z</cp:lastPrinted>
  <dcterms:created xsi:type="dcterms:W3CDTF">2021-05-10T15:21:00Z</dcterms:created>
  <dcterms:modified xsi:type="dcterms:W3CDTF">2021-07-15T16:24:00Z</dcterms:modified>
</cp:coreProperties>
</file>