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95"/>
        <w:gridCol w:w="3015"/>
        <w:gridCol w:w="2548"/>
        <w:gridCol w:w="1289"/>
        <w:gridCol w:w="107"/>
      </w:tblGrid>
      <w:tr w:rsidR="007A7CBC" w:rsidRPr="00F33A7F" w:rsidTr="00694BB4">
        <w:tc>
          <w:tcPr>
            <w:tcW w:w="5910" w:type="dxa"/>
            <w:gridSpan w:val="2"/>
            <w:vMerge w:val="restart"/>
            <w:shd w:val="clear" w:color="auto" w:fill="auto"/>
          </w:tcPr>
          <w:p w:rsidR="007A7CBC" w:rsidRPr="00F33A7F" w:rsidRDefault="007A7CBC">
            <w:pPr>
              <w:rPr>
                <w:rFonts w:ascii="Helvetica 65 Medium" w:hAnsi="Helvetica 65 Medium"/>
                <w:sz w:val="24"/>
                <w:szCs w:val="24"/>
              </w:rPr>
            </w:pPr>
            <w:bookmarkStart w:id="0" w:name="_top"/>
            <w:bookmarkEnd w:id="0"/>
          </w:p>
          <w:p w:rsidR="007A7CBC" w:rsidRPr="00F33A7F" w:rsidRDefault="00394F2C">
            <w:pPr>
              <w:rPr>
                <w:rFonts w:ascii="Helvetica 65 Medium" w:hAnsi="Helvetica 65 Medium"/>
                <w:sz w:val="24"/>
                <w:szCs w:val="24"/>
              </w:rPr>
            </w:pPr>
            <w:r>
              <w:rPr>
                <w:rFonts w:ascii="Helvetica 65 Medium" w:hAnsi="Helvetica 65 Medium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EABC7E" wp14:editId="144E0E95">
                  <wp:extent cx="809625" cy="419100"/>
                  <wp:effectExtent l="0" t="0" r="9525" b="0"/>
                  <wp:docPr id="1" name="Picture 1" descr="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CBC" w:rsidRPr="00F33A7F" w:rsidRDefault="007A7CBC">
            <w:pPr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CD7807" w:rsidRPr="00F33A7F" w:rsidRDefault="00CD7807" w:rsidP="00745B8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A7CBC" w:rsidRPr="00F33A7F" w:rsidRDefault="007E0C66" w:rsidP="008F088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Board</w:t>
            </w:r>
            <w:r w:rsidR="0001471C" w:rsidRPr="00F33A7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8F0889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7A7CBC" w:rsidRPr="00F33A7F">
              <w:rPr>
                <w:rFonts w:ascii="Calibri" w:hAnsi="Calibri" w:cs="Calibri"/>
                <w:b/>
                <w:sz w:val="24"/>
                <w:szCs w:val="24"/>
              </w:rPr>
              <w:t>eeting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7A7CBC" w:rsidRPr="00F33A7F" w:rsidRDefault="000A6F3B" w:rsidP="00121DE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02/10</w:t>
            </w:r>
            <w:r w:rsidR="00D51D2F">
              <w:rPr>
                <w:rFonts w:ascii="Calibri" w:hAnsi="Calibri" w:cs="Calibri"/>
                <w:b/>
                <w:sz w:val="24"/>
                <w:szCs w:val="24"/>
              </w:rPr>
              <w:t>/2020</w:t>
            </w:r>
          </w:p>
        </w:tc>
      </w:tr>
      <w:tr w:rsidR="007A7CBC" w:rsidRPr="00F33A7F" w:rsidTr="00694BB4">
        <w:tc>
          <w:tcPr>
            <w:tcW w:w="5910" w:type="dxa"/>
            <w:gridSpan w:val="2"/>
            <w:vMerge/>
            <w:shd w:val="clear" w:color="auto" w:fill="auto"/>
          </w:tcPr>
          <w:p w:rsidR="007A7CBC" w:rsidRPr="00F33A7F" w:rsidRDefault="007A7CBC">
            <w:pPr>
              <w:rPr>
                <w:rFonts w:ascii="Helvetica 65 Medium" w:hAnsi="Helvetica 65 Medium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7A7CBC" w:rsidRPr="00F33A7F" w:rsidRDefault="008F0889" w:rsidP="00F33A7F">
            <w:pPr>
              <w:spacing w:before="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Agenda I</w:t>
            </w:r>
            <w:r w:rsidR="007A7CBC" w:rsidRPr="00F33A7F">
              <w:rPr>
                <w:rFonts w:ascii="Calibri" w:hAnsi="Calibri" w:cs="Calibri"/>
                <w:b/>
                <w:sz w:val="24"/>
                <w:szCs w:val="24"/>
              </w:rPr>
              <w:t>tem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7A7CBC" w:rsidRPr="00F33A7F" w:rsidRDefault="00435B06" w:rsidP="004229E7">
            <w:pPr>
              <w:spacing w:before="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2818DB" w:rsidRPr="00D340C3" w:rsidTr="00694BB4">
        <w:trPr>
          <w:gridAfter w:val="1"/>
          <w:wAfter w:w="107" w:type="dxa"/>
        </w:trPr>
        <w:tc>
          <w:tcPr>
            <w:tcW w:w="2895" w:type="dxa"/>
            <w:shd w:val="clear" w:color="auto" w:fill="auto"/>
          </w:tcPr>
          <w:p w:rsidR="002818DB" w:rsidRPr="00D340C3" w:rsidRDefault="002818DB" w:rsidP="000C30B6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2818DB" w:rsidRPr="00D340C3" w:rsidRDefault="00F735E9" w:rsidP="00BA37DD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Appointment and Performance Management of Non-Executives excl. Board Members and Independent Non-Executiv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sz w:val="24"/>
                <w:szCs w:val="24"/>
              </w:rPr>
              <w:t>es of Committees</w:t>
            </w:r>
          </w:p>
        </w:tc>
      </w:tr>
      <w:tr w:rsidR="002818DB" w:rsidRPr="00D340C3" w:rsidTr="00694BB4">
        <w:trPr>
          <w:gridAfter w:val="1"/>
          <w:wAfter w:w="107" w:type="dxa"/>
        </w:trPr>
        <w:tc>
          <w:tcPr>
            <w:tcW w:w="2895" w:type="dxa"/>
            <w:shd w:val="clear" w:color="auto" w:fill="auto"/>
          </w:tcPr>
          <w:p w:rsidR="002818DB" w:rsidRPr="00D340C3" w:rsidRDefault="002818DB" w:rsidP="000C30B6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sz w:val="24"/>
                <w:szCs w:val="24"/>
              </w:rPr>
              <w:t>Purpose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2818DB" w:rsidRPr="00D340C3" w:rsidRDefault="007002BA" w:rsidP="000C30B6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sz w:val="24"/>
                <w:szCs w:val="24"/>
              </w:rPr>
              <w:t>For D</w:t>
            </w:r>
            <w:r w:rsidR="002818DB" w:rsidRPr="00D340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ecision </w:t>
            </w:r>
          </w:p>
        </w:tc>
      </w:tr>
      <w:tr w:rsidR="002818DB" w:rsidRPr="00D340C3" w:rsidTr="00694BB4">
        <w:trPr>
          <w:gridAfter w:val="1"/>
          <w:wAfter w:w="107" w:type="dxa"/>
        </w:trPr>
        <w:tc>
          <w:tcPr>
            <w:tcW w:w="2895" w:type="dxa"/>
            <w:shd w:val="clear" w:color="auto" w:fill="auto"/>
          </w:tcPr>
          <w:p w:rsidR="002818DB" w:rsidRPr="00D340C3" w:rsidRDefault="002818DB" w:rsidP="000C30B6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E35223" w:rsidRPr="00D340C3" w:rsidRDefault="000A6F3B" w:rsidP="00BC1C6B">
            <w:p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Remuneration and Appointments Committee</w:t>
            </w:r>
            <w:r w:rsidR="00FF47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C3C62" w:rsidRPr="00D340C3" w:rsidTr="00C806F5">
        <w:trPr>
          <w:gridAfter w:val="1"/>
          <w:wAfter w:w="107" w:type="dxa"/>
          <w:trHeight w:val="801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C3C62" w:rsidRPr="00D340C3" w:rsidRDefault="00BC3C62" w:rsidP="009B67F5">
            <w:pPr>
              <w:spacing w:before="40" w:after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 xml:space="preserve">If you have any enquiries on this paper, please contact </w:t>
            </w:r>
            <w:r w:rsidR="009B67F5"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Marc Stoner</w:t>
            </w: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 xml:space="preserve"> </w:t>
            </w:r>
            <w:r w:rsidR="00DC22A9"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 xml:space="preserve">at </w:t>
            </w:r>
            <w:hyperlink r:id="rId10" w:history="1">
              <w:r w:rsidR="009B67F5" w:rsidRPr="00D340C3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marcs@arb.org.uk</w:t>
              </w:r>
            </w:hyperlink>
            <w:r w:rsidR="00DC22A9"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 xml:space="preserve"> or </w:t>
            </w: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on 020 7580 5861</w:t>
            </w:r>
          </w:p>
        </w:tc>
      </w:tr>
    </w:tbl>
    <w:p w:rsidR="005D356A" w:rsidRPr="00D340C3" w:rsidRDefault="005D356A" w:rsidP="00B00031">
      <w:pPr>
        <w:ind w:left="567" w:hanging="567"/>
        <w:rPr>
          <w:rFonts w:asciiTheme="minorHAnsi" w:hAnsiTheme="minorHAnsi" w:cstheme="minorHAnsi"/>
          <w:sz w:val="24"/>
          <w:szCs w:val="24"/>
        </w:rPr>
      </w:pPr>
    </w:p>
    <w:tbl>
      <w:tblPr>
        <w:tblW w:w="9889" w:type="dxa"/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9"/>
        <w:gridCol w:w="133"/>
        <w:gridCol w:w="533"/>
        <w:gridCol w:w="197"/>
        <w:gridCol w:w="8421"/>
        <w:gridCol w:w="29"/>
      </w:tblGrid>
      <w:tr w:rsidR="00F353A7" w:rsidRPr="00D340C3" w:rsidTr="00694BB4">
        <w:trPr>
          <w:gridAfter w:val="1"/>
          <w:wAfter w:w="29" w:type="dxa"/>
        </w:trPr>
        <w:tc>
          <w:tcPr>
            <w:tcW w:w="709" w:type="dxa"/>
            <w:gridSpan w:val="3"/>
            <w:vMerge w:val="restart"/>
            <w:shd w:val="clear" w:color="auto" w:fill="auto"/>
          </w:tcPr>
          <w:p w:rsidR="00F353A7" w:rsidRPr="00711F6C" w:rsidRDefault="00F353A7" w:rsidP="00F33A7F">
            <w:pPr>
              <w:spacing w:before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711F6C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 xml:space="preserve">1. </w:t>
            </w:r>
          </w:p>
        </w:tc>
        <w:tc>
          <w:tcPr>
            <w:tcW w:w="9151" w:type="dxa"/>
            <w:gridSpan w:val="3"/>
            <w:shd w:val="clear" w:color="auto" w:fill="auto"/>
          </w:tcPr>
          <w:p w:rsidR="00F353A7" w:rsidRPr="00711F6C" w:rsidRDefault="00301DF7" w:rsidP="00C7435E">
            <w:pPr>
              <w:spacing w:before="40" w:after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711F6C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Summary</w:t>
            </w:r>
          </w:p>
        </w:tc>
      </w:tr>
      <w:tr w:rsidR="00F353A7" w:rsidRPr="00D340C3" w:rsidTr="00694BB4">
        <w:trPr>
          <w:gridAfter w:val="1"/>
          <w:wAfter w:w="29" w:type="dxa"/>
        </w:trPr>
        <w:tc>
          <w:tcPr>
            <w:tcW w:w="709" w:type="dxa"/>
            <w:gridSpan w:val="3"/>
            <w:vMerge/>
            <w:shd w:val="clear" w:color="auto" w:fill="auto"/>
          </w:tcPr>
          <w:p w:rsidR="00F353A7" w:rsidRPr="00711F6C" w:rsidRDefault="00F353A7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1" w:type="dxa"/>
            <w:gridSpan w:val="3"/>
            <w:shd w:val="clear" w:color="auto" w:fill="auto"/>
          </w:tcPr>
          <w:p w:rsidR="00F735E9" w:rsidRPr="00F735E9" w:rsidRDefault="00F74579" w:rsidP="00F74579">
            <w:pPr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This paper sets out a proposal for the appointment and performance management </w:t>
            </w:r>
            <w:r w:rsidR="00F735E9" w:rsidRPr="00F735E9">
              <w:rPr>
                <w:rFonts w:ascii="Calibri" w:hAnsi="Calibri" w:cs="Calibri"/>
                <w:sz w:val="24"/>
                <w:szCs w:val="24"/>
              </w:rPr>
              <w:t xml:space="preserve">of </w:t>
            </w:r>
            <w:r w:rsidR="00F735E9">
              <w:rPr>
                <w:rFonts w:ascii="Calibri" w:hAnsi="Calibri" w:cs="Calibri"/>
                <w:sz w:val="24"/>
                <w:szCs w:val="24"/>
              </w:rPr>
              <w:t>n</w:t>
            </w:r>
            <w:r w:rsidR="00F735E9" w:rsidRPr="00F735E9">
              <w:rPr>
                <w:rFonts w:ascii="Calibri" w:hAnsi="Calibri" w:cs="Calibri"/>
                <w:sz w:val="24"/>
                <w:szCs w:val="24"/>
              </w:rPr>
              <w:t>on-</w:t>
            </w:r>
            <w:r w:rsidR="00F735E9">
              <w:rPr>
                <w:rFonts w:ascii="Calibri" w:hAnsi="Calibri" w:cs="Calibri"/>
                <w:sz w:val="24"/>
                <w:szCs w:val="24"/>
              </w:rPr>
              <w:t>e</w:t>
            </w:r>
            <w:r w:rsidR="00F735E9" w:rsidRPr="00F735E9">
              <w:rPr>
                <w:rFonts w:ascii="Calibri" w:hAnsi="Calibri" w:cs="Calibri"/>
                <w:sz w:val="24"/>
                <w:szCs w:val="24"/>
              </w:rPr>
              <w:t>xecutives</w:t>
            </w:r>
            <w:r w:rsidR="00CC4533">
              <w:rPr>
                <w:rFonts w:ascii="Calibri" w:hAnsi="Calibri" w:cs="Calibri"/>
                <w:sz w:val="24"/>
                <w:szCs w:val="24"/>
              </w:rPr>
              <w:t>,</w:t>
            </w:r>
            <w:r w:rsidR="00F735E9" w:rsidRPr="00F735E9">
              <w:rPr>
                <w:rFonts w:ascii="Calibri" w:hAnsi="Calibri" w:cs="Calibri"/>
                <w:sz w:val="24"/>
                <w:szCs w:val="24"/>
              </w:rPr>
              <w:t xml:space="preserve"> excl</w:t>
            </w:r>
            <w:r w:rsidR="00CC4533">
              <w:rPr>
                <w:rFonts w:ascii="Calibri" w:hAnsi="Calibri" w:cs="Calibri"/>
                <w:sz w:val="24"/>
                <w:szCs w:val="24"/>
              </w:rPr>
              <w:t>uding</w:t>
            </w:r>
            <w:r w:rsidR="00F735E9" w:rsidRPr="00F735E9">
              <w:rPr>
                <w:rFonts w:ascii="Calibri" w:hAnsi="Calibri" w:cs="Calibri"/>
                <w:sz w:val="24"/>
                <w:szCs w:val="24"/>
              </w:rPr>
              <w:t xml:space="preserve"> Board Members and Independent Non-Executives of Committees</w:t>
            </w:r>
            <w:r w:rsidR="00F735E9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4D3AD6" w:rsidRDefault="004D3AD6" w:rsidP="00F735E9">
            <w:pPr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F3B" w:rsidRDefault="000A6F3B" w:rsidP="00F735E9">
            <w:pPr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Remuneration and Appointments Committee discussed the proposals outlined in </w:t>
            </w:r>
            <w:r w:rsidRPr="007041FB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Annex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at is meeting on 21 September 2020</w:t>
            </w:r>
            <w:r w:rsidR="007041FB">
              <w:rPr>
                <w:rFonts w:asciiTheme="minorHAnsi" w:hAnsiTheme="minorHAnsi" w:cstheme="minorHAnsi"/>
                <w:sz w:val="24"/>
                <w:szCs w:val="24"/>
              </w:rPr>
              <w:t xml:space="preserve"> and make the following recommendations:</w:t>
            </w:r>
          </w:p>
          <w:p w:rsidR="007041FB" w:rsidRPr="00711F6C" w:rsidRDefault="007041FB" w:rsidP="00F735E9">
            <w:pPr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FDC" w:rsidRPr="00D340C3" w:rsidTr="00694BB4">
        <w:tblPrEx>
          <w:shd w:val="clear" w:color="auto" w:fill="D9D9D9"/>
        </w:tblPrEx>
        <w:trPr>
          <w:gridAfter w:val="1"/>
          <w:wAfter w:w="29" w:type="dxa"/>
        </w:trPr>
        <w:tc>
          <w:tcPr>
            <w:tcW w:w="709" w:type="dxa"/>
            <w:gridSpan w:val="3"/>
            <w:vMerge w:val="restart"/>
            <w:shd w:val="clear" w:color="auto" w:fill="D9D9D9"/>
          </w:tcPr>
          <w:p w:rsidR="003E5FDC" w:rsidRPr="00D340C3" w:rsidRDefault="003E5FDC" w:rsidP="00F33A7F">
            <w:pPr>
              <w:spacing w:before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 xml:space="preserve">2. </w:t>
            </w:r>
          </w:p>
        </w:tc>
        <w:tc>
          <w:tcPr>
            <w:tcW w:w="9151" w:type="dxa"/>
            <w:gridSpan w:val="3"/>
            <w:shd w:val="clear" w:color="auto" w:fill="D9D9D9"/>
          </w:tcPr>
          <w:p w:rsidR="003E5FDC" w:rsidRPr="00D340C3" w:rsidRDefault="003E5FDC" w:rsidP="00C7435E">
            <w:pPr>
              <w:spacing w:before="40" w:after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Recommendations</w:t>
            </w:r>
          </w:p>
        </w:tc>
      </w:tr>
      <w:tr w:rsidR="003E5FDC" w:rsidRPr="00D340C3" w:rsidTr="00694BB4">
        <w:tblPrEx>
          <w:shd w:val="clear" w:color="auto" w:fill="D9D9D9"/>
        </w:tblPrEx>
        <w:trPr>
          <w:gridAfter w:val="1"/>
          <w:wAfter w:w="29" w:type="dxa"/>
        </w:trPr>
        <w:tc>
          <w:tcPr>
            <w:tcW w:w="709" w:type="dxa"/>
            <w:gridSpan w:val="3"/>
            <w:vMerge/>
            <w:shd w:val="clear" w:color="auto" w:fill="D9D9D9"/>
          </w:tcPr>
          <w:p w:rsidR="003E5FDC" w:rsidRPr="00D340C3" w:rsidRDefault="003E5FDC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1" w:type="dxa"/>
            <w:gridSpan w:val="3"/>
            <w:shd w:val="clear" w:color="auto" w:fill="D9D9D9"/>
          </w:tcPr>
          <w:p w:rsidR="003E5FDC" w:rsidRPr="00D340C3" w:rsidRDefault="00FF47F8" w:rsidP="00DB41F7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That the Committee make the following recommendation</w:t>
            </w:r>
            <w:r w:rsidR="00BD737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the Board</w:t>
            </w:r>
            <w:r w:rsidR="003E5FDC" w:rsidRPr="00D340C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3E5FDC" w:rsidRPr="00D340C3" w:rsidTr="00694BB4">
        <w:tblPrEx>
          <w:shd w:val="clear" w:color="auto" w:fill="D9D9D9"/>
        </w:tblPrEx>
        <w:trPr>
          <w:gridAfter w:val="1"/>
          <w:wAfter w:w="29" w:type="dxa"/>
        </w:trPr>
        <w:tc>
          <w:tcPr>
            <w:tcW w:w="709" w:type="dxa"/>
            <w:gridSpan w:val="3"/>
            <w:vMerge/>
            <w:shd w:val="clear" w:color="auto" w:fill="D9D9D9"/>
          </w:tcPr>
          <w:p w:rsidR="003E5FDC" w:rsidRPr="00D340C3" w:rsidRDefault="003E5FDC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shd w:val="clear" w:color="auto" w:fill="D9D9D9"/>
          </w:tcPr>
          <w:p w:rsidR="003E5FDC" w:rsidRPr="00D340C3" w:rsidRDefault="003E5FDC" w:rsidP="00C7435E">
            <w:pPr>
              <w:numPr>
                <w:ilvl w:val="0"/>
                <w:numId w:val="2"/>
              </w:num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21" w:type="dxa"/>
            <w:shd w:val="clear" w:color="auto" w:fill="D9D9D9"/>
          </w:tcPr>
          <w:p w:rsidR="008611F3" w:rsidRPr="008611F3" w:rsidRDefault="00DB41F7" w:rsidP="00F74579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Agrees </w:t>
            </w:r>
            <w:r w:rsidR="00F735E9">
              <w:rPr>
                <w:rFonts w:asciiTheme="minorHAnsi" w:hAnsiTheme="minorHAnsi" w:cstheme="minorHAnsi"/>
                <w:sz w:val="24"/>
                <w:szCs w:val="24"/>
              </w:rPr>
              <w:t xml:space="preserve">to the plan outlined in </w:t>
            </w:r>
            <w:r w:rsidR="00F735E9" w:rsidRPr="00F735E9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A</w:t>
            </w:r>
            <w:r w:rsidR="00F74579" w:rsidRPr="00F735E9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nnex A</w:t>
            </w:r>
            <w:r w:rsidR="00CC4533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.</w:t>
            </w:r>
          </w:p>
        </w:tc>
      </w:tr>
      <w:tr w:rsidR="00CD4CAB" w:rsidRPr="00D340C3" w:rsidTr="00694BB4">
        <w:tblPrEx>
          <w:shd w:val="clear" w:color="auto" w:fill="D9D9D9"/>
        </w:tblPrEx>
        <w:trPr>
          <w:gridAfter w:val="1"/>
          <w:wAfter w:w="29" w:type="dxa"/>
        </w:trPr>
        <w:tc>
          <w:tcPr>
            <w:tcW w:w="709" w:type="dxa"/>
            <w:gridSpan w:val="3"/>
            <w:shd w:val="clear" w:color="auto" w:fill="D9D9D9"/>
          </w:tcPr>
          <w:p w:rsidR="00CD4CAB" w:rsidRPr="00D340C3" w:rsidRDefault="00CD4CAB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shd w:val="clear" w:color="auto" w:fill="D9D9D9"/>
          </w:tcPr>
          <w:p w:rsidR="00CD4CAB" w:rsidRPr="00D340C3" w:rsidRDefault="00CD4CAB" w:rsidP="00C7435E">
            <w:pPr>
              <w:numPr>
                <w:ilvl w:val="0"/>
                <w:numId w:val="2"/>
              </w:num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21" w:type="dxa"/>
            <w:shd w:val="clear" w:color="auto" w:fill="D9D9D9"/>
          </w:tcPr>
          <w:p w:rsidR="00CD4CAB" w:rsidRDefault="00CD4CAB" w:rsidP="00F74579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Agrees that no appointee can serve more than eight years without a four year break (as outlined in 5 ix below).</w:t>
            </w:r>
          </w:p>
        </w:tc>
      </w:tr>
      <w:tr w:rsidR="00CD4CAB" w:rsidRPr="00D340C3" w:rsidTr="00694BB4">
        <w:tblPrEx>
          <w:shd w:val="clear" w:color="auto" w:fill="D9D9D9"/>
        </w:tblPrEx>
        <w:trPr>
          <w:gridAfter w:val="1"/>
          <w:wAfter w:w="29" w:type="dxa"/>
        </w:trPr>
        <w:tc>
          <w:tcPr>
            <w:tcW w:w="709" w:type="dxa"/>
            <w:gridSpan w:val="3"/>
            <w:shd w:val="clear" w:color="auto" w:fill="D9D9D9"/>
          </w:tcPr>
          <w:p w:rsidR="00CD4CAB" w:rsidRPr="00D340C3" w:rsidRDefault="00CD4CAB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shd w:val="clear" w:color="auto" w:fill="D9D9D9"/>
          </w:tcPr>
          <w:p w:rsidR="00CD4CAB" w:rsidRPr="00D340C3" w:rsidRDefault="00CD4CAB" w:rsidP="00C7435E">
            <w:pPr>
              <w:numPr>
                <w:ilvl w:val="0"/>
                <w:numId w:val="2"/>
              </w:numPr>
              <w:spacing w:before="40" w:after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21" w:type="dxa"/>
            <w:shd w:val="clear" w:color="auto" w:fill="D9D9D9"/>
          </w:tcPr>
          <w:p w:rsidR="00CD4CAB" w:rsidRPr="00CD4CAB" w:rsidRDefault="00CD4CAB" w:rsidP="00CD4CAB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Agrees that no memb</w:t>
            </w:r>
            <w:r w:rsidR="00CC4533">
              <w:rPr>
                <w:rFonts w:asciiTheme="minorHAnsi" w:hAnsiTheme="minorHAnsi" w:cstheme="minorHAnsi"/>
                <w:sz w:val="24"/>
                <w:szCs w:val="24"/>
              </w:rPr>
              <w:t>er of the Board or Independent Non-Executives of 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ommittee</w:t>
            </w:r>
            <w:r w:rsidR="00CC453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041FB">
              <w:rPr>
                <w:rFonts w:asciiTheme="minorHAnsi" w:hAnsiTheme="minorHAnsi" w:cstheme="minorHAnsi"/>
                <w:sz w:val="24"/>
                <w:szCs w:val="24"/>
              </w:rPr>
              <w:t xml:space="preserve"> are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able to serve any other functions listed in </w:t>
            </w:r>
            <w:r w:rsidRPr="00CD4CAB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Annex A</w:t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.Further details are outlined in 5 </w:t>
            </w:r>
            <w:r w:rsidR="00CC453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CC453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below.</w:t>
            </w:r>
          </w:p>
        </w:tc>
      </w:tr>
      <w:tr w:rsidR="00BC3C62" w:rsidRPr="00D340C3" w:rsidTr="00694BB4">
        <w:trPr>
          <w:gridAfter w:val="1"/>
          <w:wAfter w:w="29" w:type="dxa"/>
        </w:trPr>
        <w:tc>
          <w:tcPr>
            <w:tcW w:w="709" w:type="dxa"/>
            <w:gridSpan w:val="3"/>
            <w:shd w:val="clear" w:color="auto" w:fill="auto"/>
          </w:tcPr>
          <w:p w:rsidR="00BC3C62" w:rsidRPr="00D340C3" w:rsidRDefault="00BC3C62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1" w:type="dxa"/>
            <w:gridSpan w:val="3"/>
            <w:shd w:val="clear" w:color="auto" w:fill="auto"/>
          </w:tcPr>
          <w:p w:rsidR="00BC3C62" w:rsidRPr="00D340C3" w:rsidRDefault="00BC3C62" w:rsidP="00C7435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7807" w:rsidRPr="00D340C3" w:rsidTr="00694BB4">
        <w:trPr>
          <w:gridAfter w:val="1"/>
          <w:wAfter w:w="29" w:type="dxa"/>
        </w:trPr>
        <w:tc>
          <w:tcPr>
            <w:tcW w:w="709" w:type="dxa"/>
            <w:gridSpan w:val="3"/>
            <w:shd w:val="clear" w:color="auto" w:fill="auto"/>
          </w:tcPr>
          <w:p w:rsidR="00CD7807" w:rsidRPr="00D340C3" w:rsidRDefault="00394F2C" w:rsidP="00F33A7F">
            <w:pPr>
              <w:spacing w:before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3.</w:t>
            </w:r>
            <w:r w:rsidR="00CD7807"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 xml:space="preserve"> </w:t>
            </w:r>
          </w:p>
        </w:tc>
        <w:tc>
          <w:tcPr>
            <w:tcW w:w="9151" w:type="dxa"/>
            <w:gridSpan w:val="3"/>
            <w:shd w:val="clear" w:color="auto" w:fill="auto"/>
          </w:tcPr>
          <w:p w:rsidR="00CD7807" w:rsidRPr="00D340C3" w:rsidRDefault="007041FB" w:rsidP="009B67F5">
            <w:pPr>
              <w:spacing w:before="40" w:after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Open</w:t>
            </w:r>
            <w:r w:rsidR="00BD7378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 xml:space="preserve"> </w:t>
            </w:r>
            <w:r w:rsidR="007E0C66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session</w:t>
            </w:r>
          </w:p>
        </w:tc>
      </w:tr>
      <w:tr w:rsidR="00BC3C62" w:rsidRPr="00D340C3" w:rsidTr="00694BB4">
        <w:trPr>
          <w:gridAfter w:val="1"/>
          <w:wAfter w:w="29" w:type="dxa"/>
        </w:trPr>
        <w:tc>
          <w:tcPr>
            <w:tcW w:w="709" w:type="dxa"/>
            <w:gridSpan w:val="3"/>
            <w:shd w:val="clear" w:color="auto" w:fill="auto"/>
          </w:tcPr>
          <w:p w:rsidR="00BC3C62" w:rsidRPr="00D340C3" w:rsidRDefault="00BC3C62" w:rsidP="00501DAB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1" w:type="dxa"/>
            <w:gridSpan w:val="3"/>
            <w:shd w:val="clear" w:color="auto" w:fill="auto"/>
          </w:tcPr>
          <w:p w:rsidR="00BD7378" w:rsidRPr="00D340C3" w:rsidRDefault="00BD7378" w:rsidP="007041FB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E1B" w:rsidRPr="00D340C3" w:rsidTr="00694BB4">
        <w:trPr>
          <w:gridAfter w:val="1"/>
          <w:wAfter w:w="29" w:type="dxa"/>
        </w:trPr>
        <w:tc>
          <w:tcPr>
            <w:tcW w:w="709" w:type="dxa"/>
            <w:gridSpan w:val="3"/>
            <w:vMerge w:val="restart"/>
            <w:shd w:val="clear" w:color="auto" w:fill="auto"/>
          </w:tcPr>
          <w:p w:rsidR="00596E1B" w:rsidRPr="00D340C3" w:rsidRDefault="00E35223" w:rsidP="00F33A7F">
            <w:pPr>
              <w:spacing w:before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4</w:t>
            </w:r>
            <w:r w:rsidR="00596E1B"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 xml:space="preserve">. </w:t>
            </w:r>
          </w:p>
        </w:tc>
        <w:tc>
          <w:tcPr>
            <w:tcW w:w="9151" w:type="dxa"/>
            <w:gridSpan w:val="3"/>
            <w:shd w:val="clear" w:color="auto" w:fill="auto"/>
          </w:tcPr>
          <w:p w:rsidR="00596E1B" w:rsidRPr="00D340C3" w:rsidRDefault="00596E1B" w:rsidP="00C7435E">
            <w:pPr>
              <w:spacing w:before="40" w:after="40"/>
              <w:ind w:left="567" w:hanging="567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Contribution to the Board’s Purpose and Objectives</w:t>
            </w:r>
          </w:p>
        </w:tc>
      </w:tr>
      <w:tr w:rsidR="00596E1B" w:rsidRPr="00D340C3" w:rsidTr="00694BB4">
        <w:trPr>
          <w:gridAfter w:val="1"/>
          <w:wAfter w:w="29" w:type="dxa"/>
        </w:trPr>
        <w:tc>
          <w:tcPr>
            <w:tcW w:w="709" w:type="dxa"/>
            <w:gridSpan w:val="3"/>
            <w:vMerge/>
            <w:shd w:val="clear" w:color="auto" w:fill="auto"/>
          </w:tcPr>
          <w:p w:rsidR="00596E1B" w:rsidRPr="00D340C3" w:rsidRDefault="00596E1B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1" w:type="dxa"/>
            <w:gridSpan w:val="3"/>
            <w:shd w:val="clear" w:color="auto" w:fill="auto"/>
          </w:tcPr>
          <w:p w:rsidR="00596E1B" w:rsidRPr="00D340C3" w:rsidRDefault="00596E1B" w:rsidP="00C7435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sz w:val="24"/>
                <w:szCs w:val="24"/>
              </w:rPr>
              <w:t>In delivering the Act, ARB’s objectives are:</w:t>
            </w:r>
          </w:p>
        </w:tc>
      </w:tr>
      <w:tr w:rsidR="00596E1B" w:rsidRPr="00D340C3" w:rsidTr="00694BB4">
        <w:trPr>
          <w:gridAfter w:val="1"/>
          <w:wAfter w:w="29" w:type="dxa"/>
        </w:trPr>
        <w:tc>
          <w:tcPr>
            <w:tcW w:w="709" w:type="dxa"/>
            <w:gridSpan w:val="3"/>
            <w:vMerge/>
            <w:shd w:val="clear" w:color="auto" w:fill="auto"/>
          </w:tcPr>
          <w:p w:rsidR="00596E1B" w:rsidRPr="00D340C3" w:rsidRDefault="00596E1B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51" w:type="dxa"/>
            <w:gridSpan w:val="3"/>
            <w:shd w:val="clear" w:color="auto" w:fill="auto"/>
          </w:tcPr>
          <w:p w:rsidR="009B67F5" w:rsidRPr="00D340C3" w:rsidRDefault="009B67F5" w:rsidP="009B67F5">
            <w:pPr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sz w:val="24"/>
                <w:szCs w:val="24"/>
              </w:rPr>
              <w:t xml:space="preserve">Protect the users and potential users of architects’ services </w:t>
            </w:r>
          </w:p>
          <w:p w:rsidR="00922807" w:rsidRDefault="009B67F5" w:rsidP="009B67F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sz w:val="24"/>
                <w:szCs w:val="24"/>
              </w:rPr>
              <w:t>Support architects through regulation.</w:t>
            </w:r>
          </w:p>
          <w:p w:rsidR="007041FB" w:rsidRPr="00D340C3" w:rsidRDefault="007041FB" w:rsidP="009B67F5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1DAB" w:rsidRPr="00D340C3" w:rsidTr="00694BB4">
        <w:trPr>
          <w:gridAfter w:val="1"/>
          <w:wAfter w:w="29" w:type="dxa"/>
        </w:trPr>
        <w:tc>
          <w:tcPr>
            <w:tcW w:w="709" w:type="dxa"/>
            <w:gridSpan w:val="3"/>
            <w:shd w:val="clear" w:color="auto" w:fill="auto"/>
          </w:tcPr>
          <w:p w:rsidR="00501DAB" w:rsidRPr="00D340C3" w:rsidRDefault="00501DAB" w:rsidP="00F33A7F">
            <w:pPr>
              <w:spacing w:before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</w:p>
        </w:tc>
        <w:tc>
          <w:tcPr>
            <w:tcW w:w="9151" w:type="dxa"/>
            <w:gridSpan w:val="3"/>
            <w:shd w:val="clear" w:color="auto" w:fill="auto"/>
          </w:tcPr>
          <w:p w:rsidR="00F07F50" w:rsidRPr="00D340C3" w:rsidRDefault="00F07F50" w:rsidP="00F63BDD">
            <w:pPr>
              <w:spacing w:before="40" w:after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</w:p>
        </w:tc>
      </w:tr>
      <w:tr w:rsidR="00FA33A1" w:rsidRPr="00D340C3" w:rsidTr="001265C4">
        <w:tc>
          <w:tcPr>
            <w:tcW w:w="576" w:type="dxa"/>
            <w:gridSpan w:val="2"/>
            <w:vMerge w:val="restart"/>
            <w:shd w:val="clear" w:color="auto" w:fill="auto"/>
          </w:tcPr>
          <w:p w:rsidR="00FA33A1" w:rsidRPr="007521B2" w:rsidRDefault="00E35223" w:rsidP="00F33A7F">
            <w:pPr>
              <w:spacing w:before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7521B2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5</w:t>
            </w:r>
            <w:r w:rsidR="00FA33A1" w:rsidRPr="007521B2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 xml:space="preserve">. </w:t>
            </w:r>
          </w:p>
        </w:tc>
        <w:tc>
          <w:tcPr>
            <w:tcW w:w="9313" w:type="dxa"/>
            <w:gridSpan w:val="5"/>
            <w:shd w:val="clear" w:color="auto" w:fill="auto"/>
          </w:tcPr>
          <w:p w:rsidR="00FA33A1" w:rsidRPr="007521B2" w:rsidRDefault="00301DF7" w:rsidP="00C7435E">
            <w:pPr>
              <w:spacing w:before="40" w:after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7521B2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Background</w:t>
            </w:r>
          </w:p>
        </w:tc>
      </w:tr>
      <w:tr w:rsidR="003165F4" w:rsidRPr="00D340C3" w:rsidTr="001265C4">
        <w:tc>
          <w:tcPr>
            <w:tcW w:w="576" w:type="dxa"/>
            <w:gridSpan w:val="2"/>
            <w:vMerge/>
            <w:shd w:val="clear" w:color="auto" w:fill="auto"/>
          </w:tcPr>
          <w:p w:rsidR="003165F4" w:rsidRPr="00D340C3" w:rsidRDefault="003165F4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3165F4" w:rsidRPr="00DB6084" w:rsidRDefault="003165F4" w:rsidP="00DB6084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3165F4" w:rsidRDefault="004D3AD6" w:rsidP="00F03048">
            <w:pP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In April 2019, the </w:t>
            </w:r>
            <w:r w:rsidR="00CC4533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then 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new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ly appointed </w:t>
            </w:r>
            <w:r w:rsidR="00DA2926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C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hair of the Board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took a decision that any non-executive appointments should be 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exclusively made by 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Board 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members,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and that the </w:t>
            </w:r>
            <w:r w:rsidR="00DA2926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E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xecutive should have no involvement in the process.</w:t>
            </w:r>
          </w:p>
          <w:p w:rsidR="007041FB" w:rsidRDefault="007041FB" w:rsidP="00F03048">
            <w:pP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3165F4" w:rsidRPr="00D340C3" w:rsidTr="001265C4">
        <w:tc>
          <w:tcPr>
            <w:tcW w:w="576" w:type="dxa"/>
            <w:gridSpan w:val="2"/>
            <w:vMerge/>
            <w:shd w:val="clear" w:color="auto" w:fill="auto"/>
          </w:tcPr>
          <w:p w:rsidR="003165F4" w:rsidRPr="00D340C3" w:rsidRDefault="003165F4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3165F4" w:rsidRPr="00DB6084" w:rsidRDefault="003165F4" w:rsidP="00DB6084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B41B19" w:rsidRDefault="004D3AD6" w:rsidP="00DA2926">
            <w:pP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Th</w:t>
            </w:r>
            <w:r w:rsidR="00DA2926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is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change in </w:t>
            </w:r>
            <w:r w:rsidR="00DA2926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approach 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would require a significant increase in Board 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members’ 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time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as well 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as </w:t>
            </w:r>
            <w:r w:rsidR="008D62E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requiring disproportionate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time and </w:t>
            </w:r>
            <w:r w:rsidR="00DA2926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a 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complex process for the performance management of these 70+ </w:t>
            </w:r>
            <w:r w:rsidR="00DA2926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individuals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.</w:t>
            </w:r>
          </w:p>
          <w:p w:rsidR="007041FB" w:rsidRPr="00D324AE" w:rsidRDefault="007041FB" w:rsidP="00DA2926">
            <w:pP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F47F8" w:rsidRPr="00D340C3" w:rsidTr="001265C4">
        <w:tc>
          <w:tcPr>
            <w:tcW w:w="576" w:type="dxa"/>
            <w:gridSpan w:val="2"/>
            <w:vMerge/>
            <w:shd w:val="clear" w:color="auto" w:fill="auto"/>
          </w:tcPr>
          <w:p w:rsidR="00FF47F8" w:rsidRPr="00D340C3" w:rsidRDefault="00FF47F8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FF47F8" w:rsidRPr="00DB6084" w:rsidRDefault="00FF47F8" w:rsidP="00DB6084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B41B19" w:rsidRDefault="004D3AD6" w:rsidP="00CC4533">
            <w:pPr>
              <w:spacing w:line="240" w:lineRule="atLeast"/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Following further discussions with the </w:t>
            </w:r>
            <w:r w:rsidR="00F735E9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current </w:t>
            </w:r>
            <w:r w:rsidR="00CC4533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Chair of the Board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and 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the Chair of the 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Remuneration and Appointments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Committee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, it was agreed that a </w:t>
            </w:r>
            <w:r w:rsidR="00CC4533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more balanced 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proposal should be put forward in relation to Board and Executive 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involvement</w:t>
            </w:r>
            <w:r w:rsidR="00CC4533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;  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acknowledging that the E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xecutive </w:t>
            </w:r>
            <w:r w:rsidR="00CC4533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would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have a more direct responsibility to manage the performance of appointed individuals. </w:t>
            </w:r>
          </w:p>
          <w:p w:rsidR="007041FB" w:rsidRPr="00B058EA" w:rsidRDefault="007041FB" w:rsidP="00CC4533">
            <w:pPr>
              <w:spacing w:line="240" w:lineRule="atLeast"/>
              <w:rPr>
                <w:rStyle w:val="IntenseEmphasis"/>
                <w:rFonts w:asciiTheme="minorHAnsi" w:hAnsi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B058EA" w:rsidRPr="00D340C3" w:rsidTr="001265C4">
        <w:tc>
          <w:tcPr>
            <w:tcW w:w="576" w:type="dxa"/>
            <w:gridSpan w:val="2"/>
            <w:vMerge/>
            <w:shd w:val="clear" w:color="auto" w:fill="auto"/>
          </w:tcPr>
          <w:p w:rsidR="00B058EA" w:rsidRPr="00D340C3" w:rsidRDefault="00B058EA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B058EA" w:rsidRPr="00DB6084" w:rsidRDefault="00B058EA" w:rsidP="00DB6084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259F1" w:rsidRDefault="004D3AD6" w:rsidP="00F03048">
            <w:pP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The term ‘non-executives’ was introduced by the former Chair</w:t>
            </w:r>
            <w:r w:rsidR="00CC4533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of the Board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; however in reality this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 group of key advisors is </w:t>
            </w:r>
            <w:r w:rsidR="00F03048"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 xml:space="preserve">a diverse one, and requires a flexible plan that </w:t>
            </w:r>
            <w: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  <w:t>sets out the various appointed non-executive groups and the process for their appointments and performance management.</w:t>
            </w:r>
          </w:p>
          <w:p w:rsidR="00CC4533" w:rsidRPr="00B058EA" w:rsidRDefault="00CC4533" w:rsidP="00F03048">
            <w:pPr>
              <w:rPr>
                <w:rStyle w:val="IntenseEmphasis"/>
                <w:rFonts w:asciiTheme="minorHAnsi" w:hAnsiTheme="minorHAnsi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E1550E" w:rsidRPr="00D340C3" w:rsidTr="001265C4">
        <w:tc>
          <w:tcPr>
            <w:tcW w:w="576" w:type="dxa"/>
            <w:gridSpan w:val="2"/>
            <w:vMerge/>
            <w:shd w:val="clear" w:color="auto" w:fill="auto"/>
          </w:tcPr>
          <w:p w:rsidR="00E1550E" w:rsidRPr="00D340C3" w:rsidRDefault="00E1550E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E1550E" w:rsidRPr="00DB6084" w:rsidRDefault="00E1550E" w:rsidP="00DB6084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E1550E" w:rsidRDefault="008E3182" w:rsidP="008E31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non-executives are paid via payroll and appropriate tax deductions are made from their payments.  There </w:t>
            </w:r>
            <w:r w:rsidR="00CC4533">
              <w:rPr>
                <w:rFonts w:asciiTheme="minorHAnsi" w:hAnsiTheme="minorHAnsi" w:cstheme="minorHAnsi"/>
                <w:sz w:val="24"/>
                <w:szCs w:val="24"/>
              </w:rPr>
              <w:t xml:space="preserve">are a couple of exceptions to this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however, this is reviewed prior to any selection process commencing.</w:t>
            </w:r>
          </w:p>
          <w:p w:rsidR="008E3182" w:rsidRPr="008E1876" w:rsidRDefault="008E3182" w:rsidP="008E31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3182" w:rsidRPr="00D340C3" w:rsidTr="001265C4">
        <w:tc>
          <w:tcPr>
            <w:tcW w:w="576" w:type="dxa"/>
            <w:gridSpan w:val="2"/>
            <w:shd w:val="clear" w:color="auto" w:fill="auto"/>
          </w:tcPr>
          <w:p w:rsidR="008E3182" w:rsidRPr="00D340C3" w:rsidRDefault="008E3182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8E3182" w:rsidRPr="00DB6084" w:rsidRDefault="008E3182" w:rsidP="00DB6084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8E3182" w:rsidRDefault="008E3182" w:rsidP="008E31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recruitment process </w:t>
            </w:r>
            <w:r w:rsidR="00CC4533">
              <w:rPr>
                <w:rFonts w:asciiTheme="minorHAnsi" w:hAnsiTheme="minorHAnsi" w:cstheme="minorHAnsi"/>
                <w:sz w:val="24"/>
                <w:szCs w:val="24"/>
              </w:rPr>
              <w:t>will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 led by the Executive and input sought from the portfolio Board member for the specific appointment remit.</w:t>
            </w:r>
          </w:p>
          <w:p w:rsidR="00FC0A58" w:rsidRDefault="00FC0A58" w:rsidP="008E31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3182" w:rsidRPr="00D340C3" w:rsidTr="001265C4">
        <w:tc>
          <w:tcPr>
            <w:tcW w:w="576" w:type="dxa"/>
            <w:gridSpan w:val="2"/>
            <w:shd w:val="clear" w:color="auto" w:fill="auto"/>
          </w:tcPr>
          <w:p w:rsidR="008E3182" w:rsidRPr="00D340C3" w:rsidRDefault="008E3182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8E3182" w:rsidRPr="00DB6084" w:rsidRDefault="008E3182" w:rsidP="00DB6084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8E3182" w:rsidRDefault="008E3182" w:rsidP="008E31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Board</w:t>
            </w:r>
            <w:r w:rsidR="00F03048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performance review policy will be used for all non-executives to ensure consistency of approach.</w:t>
            </w:r>
          </w:p>
          <w:p w:rsidR="00FC0A58" w:rsidRDefault="00FC0A58" w:rsidP="008E31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6807" w:rsidRPr="00D340C3" w:rsidTr="001265C4">
        <w:tc>
          <w:tcPr>
            <w:tcW w:w="576" w:type="dxa"/>
            <w:gridSpan w:val="2"/>
            <w:shd w:val="clear" w:color="auto" w:fill="auto"/>
          </w:tcPr>
          <w:p w:rsidR="00606807" w:rsidRPr="00D340C3" w:rsidRDefault="00606807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606807" w:rsidRPr="00DB6084" w:rsidRDefault="00606807" w:rsidP="00DB6084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606807" w:rsidRDefault="00606807" w:rsidP="00F030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roles are for a period of </w:t>
            </w:r>
            <w:r w:rsidR="00F03048">
              <w:rPr>
                <w:rFonts w:asciiTheme="minorHAnsi" w:hAnsiTheme="minorHAnsi" w:cstheme="minorHAnsi"/>
                <w:sz w:val="24"/>
                <w:szCs w:val="24"/>
              </w:rPr>
              <w:t>four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years with an option to extend for a further </w:t>
            </w:r>
            <w:r w:rsidR="00F03048">
              <w:rPr>
                <w:rFonts w:asciiTheme="minorHAnsi" w:hAnsiTheme="minorHAnsi" w:cstheme="minorHAnsi"/>
                <w:sz w:val="24"/>
                <w:szCs w:val="24"/>
              </w:rPr>
              <w:t>four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years subje</w:t>
            </w:r>
            <w:r w:rsidR="00CD4CAB">
              <w:rPr>
                <w:rFonts w:asciiTheme="minorHAnsi" w:hAnsiTheme="minorHAnsi" w:cstheme="minorHAnsi"/>
                <w:sz w:val="24"/>
                <w:szCs w:val="24"/>
              </w:rPr>
              <w:t>ct to satisfactory performance.</w:t>
            </w:r>
          </w:p>
          <w:p w:rsidR="00FC0A58" w:rsidRDefault="00FC0A58" w:rsidP="00F03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5E9" w:rsidRPr="00D340C3" w:rsidTr="001265C4">
        <w:tc>
          <w:tcPr>
            <w:tcW w:w="576" w:type="dxa"/>
            <w:gridSpan w:val="2"/>
            <w:shd w:val="clear" w:color="auto" w:fill="auto"/>
          </w:tcPr>
          <w:p w:rsidR="00F735E9" w:rsidRPr="00D340C3" w:rsidRDefault="00F735E9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F735E9" w:rsidRPr="00DB6084" w:rsidRDefault="00F735E9" w:rsidP="00DB6084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F735E9" w:rsidRDefault="00CD4CAB" w:rsidP="00CD4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Whilst appointees can </w:t>
            </w:r>
            <w:r w:rsidR="00CC4533">
              <w:rPr>
                <w:rFonts w:asciiTheme="minorHAnsi" w:hAnsiTheme="minorHAnsi" w:cstheme="minorHAnsi"/>
                <w:sz w:val="24"/>
                <w:szCs w:val="24"/>
              </w:rPr>
              <w:t>serve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multiple roles (unless specifically conflicted), the total time spent at ARB cannot be more than </w:t>
            </w:r>
            <w:r w:rsidR="00CC4533">
              <w:rPr>
                <w:rFonts w:asciiTheme="minorHAnsi" w:hAnsiTheme="minorHAnsi" w:cstheme="minorHAnsi"/>
                <w:sz w:val="24"/>
                <w:szCs w:val="24"/>
              </w:rPr>
              <w:t>eight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years.  Reappointments will be considered after a period of four years</w:t>
            </w:r>
            <w:r w:rsidR="00CC453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806F5">
              <w:rPr>
                <w:rFonts w:asciiTheme="minorHAnsi" w:hAnsiTheme="minorHAnsi" w:cstheme="minorHAnsi"/>
                <w:sz w:val="24"/>
                <w:szCs w:val="24"/>
              </w:rPr>
              <w:t xml:space="preserve"> There is one exception which is for the Inquirers role as the number of cases referred is minimal, maybe one per year and given their expertise the 8 year cap would not be applied.</w:t>
            </w:r>
          </w:p>
          <w:p w:rsidR="00CC4533" w:rsidRDefault="00CC4533" w:rsidP="00CD4C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CAB" w:rsidRPr="00D340C3" w:rsidTr="001265C4">
        <w:tc>
          <w:tcPr>
            <w:tcW w:w="576" w:type="dxa"/>
            <w:gridSpan w:val="2"/>
            <w:shd w:val="clear" w:color="auto" w:fill="auto"/>
          </w:tcPr>
          <w:p w:rsidR="00CD4CAB" w:rsidRPr="00D340C3" w:rsidRDefault="00CD4CAB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CD4CAB" w:rsidRPr="00DB6084" w:rsidRDefault="00CD4CAB" w:rsidP="00DB6084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CD4CAB" w:rsidRDefault="00CD4CAB" w:rsidP="00CD4C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Members of the Board or Independent non-executives of committee are unable to serve any other functions listed in </w:t>
            </w:r>
            <w:r w:rsidRPr="00CD4CAB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Annex A</w:t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 xml:space="preserve">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 is important to separate policy (which is the remit of the Board) from implementation of that policy as it could be deemed a conflict.</w:t>
            </w:r>
          </w:p>
          <w:p w:rsidR="00CC4533" w:rsidRPr="00CD4CAB" w:rsidRDefault="00CC4533" w:rsidP="00CD4C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35E9" w:rsidRPr="00D340C3" w:rsidTr="001265C4">
        <w:tc>
          <w:tcPr>
            <w:tcW w:w="576" w:type="dxa"/>
            <w:gridSpan w:val="2"/>
            <w:shd w:val="clear" w:color="auto" w:fill="auto"/>
          </w:tcPr>
          <w:p w:rsidR="00F735E9" w:rsidRPr="00D340C3" w:rsidRDefault="00F735E9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F735E9" w:rsidRPr="00DB6084" w:rsidRDefault="00F735E9" w:rsidP="00DB6084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F735E9" w:rsidRDefault="00CD4CAB" w:rsidP="00F030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existing Scheme of Delegation states:</w:t>
            </w:r>
          </w:p>
          <w:p w:rsidR="00CD4CAB" w:rsidRDefault="00CD4CAB" w:rsidP="00F03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3"/>
              <w:gridCol w:w="2027"/>
              <w:gridCol w:w="1126"/>
              <w:gridCol w:w="3257"/>
            </w:tblGrid>
            <w:tr w:rsidR="00CD4CAB" w:rsidRPr="00AB4054" w:rsidTr="0094064F">
              <w:trPr>
                <w:trHeight w:val="344"/>
                <w:tblHeader/>
              </w:trPr>
              <w:tc>
                <w:tcPr>
                  <w:tcW w:w="603" w:type="dxa"/>
                  <w:shd w:val="clear" w:color="auto" w:fill="0D0D0D" w:themeFill="text1" w:themeFillTint="F2"/>
                </w:tcPr>
                <w:p w:rsidR="00CD4CAB" w:rsidRPr="00AB4054" w:rsidRDefault="00CD4CAB" w:rsidP="0094064F">
                  <w:pPr>
                    <w:rPr>
                      <w:rFonts w:ascii="Calibri" w:hAnsi="Calibri" w:cs="Calibri"/>
                      <w:b/>
                    </w:rPr>
                  </w:pPr>
                  <w:r w:rsidRPr="00AB4054">
                    <w:rPr>
                      <w:rFonts w:ascii="Calibri" w:hAnsi="Calibri" w:cs="Calibri"/>
                      <w:b/>
                    </w:rPr>
                    <w:t>Item</w:t>
                  </w:r>
                </w:p>
              </w:tc>
              <w:tc>
                <w:tcPr>
                  <w:tcW w:w="2027" w:type="dxa"/>
                  <w:shd w:val="clear" w:color="auto" w:fill="0D0D0D" w:themeFill="text1" w:themeFillTint="F2"/>
                </w:tcPr>
                <w:p w:rsidR="00CD4CAB" w:rsidRPr="00AB4054" w:rsidRDefault="00CD4CAB" w:rsidP="0094064F">
                  <w:pPr>
                    <w:rPr>
                      <w:rFonts w:ascii="Calibri" w:hAnsi="Calibri" w:cs="Calibri"/>
                      <w:b/>
                    </w:rPr>
                  </w:pPr>
                  <w:r w:rsidRPr="00AB4054">
                    <w:rPr>
                      <w:rFonts w:ascii="Calibri" w:hAnsi="Calibri" w:cs="Calibri"/>
                      <w:b/>
                    </w:rPr>
                    <w:t>Action</w:t>
                  </w:r>
                </w:p>
              </w:tc>
              <w:tc>
                <w:tcPr>
                  <w:tcW w:w="1126" w:type="dxa"/>
                  <w:shd w:val="clear" w:color="auto" w:fill="0D0D0D" w:themeFill="text1" w:themeFillTint="F2"/>
                </w:tcPr>
                <w:p w:rsidR="00CD4CAB" w:rsidRPr="00AB4054" w:rsidRDefault="00CD4CAB" w:rsidP="0094064F">
                  <w:pPr>
                    <w:rPr>
                      <w:rFonts w:ascii="Calibri" w:hAnsi="Calibri" w:cs="Calibri"/>
                      <w:b/>
                    </w:rPr>
                  </w:pPr>
                  <w:r w:rsidRPr="00AB4054">
                    <w:rPr>
                      <w:rFonts w:ascii="Calibri" w:hAnsi="Calibri" w:cs="Calibri"/>
                      <w:b/>
                    </w:rPr>
                    <w:t>Level of Authority</w:t>
                  </w:r>
                </w:p>
              </w:tc>
              <w:tc>
                <w:tcPr>
                  <w:tcW w:w="3257" w:type="dxa"/>
                  <w:shd w:val="clear" w:color="auto" w:fill="0D0D0D" w:themeFill="text1" w:themeFillTint="F2"/>
                </w:tcPr>
                <w:p w:rsidR="00CD4CAB" w:rsidRPr="00AB4054" w:rsidRDefault="00CD4CAB" w:rsidP="0094064F">
                  <w:pPr>
                    <w:rPr>
                      <w:rFonts w:ascii="Calibri" w:hAnsi="Calibri" w:cs="Calibri"/>
                      <w:b/>
                    </w:rPr>
                  </w:pPr>
                  <w:r w:rsidRPr="00AB4054">
                    <w:rPr>
                      <w:rFonts w:ascii="Calibri" w:hAnsi="Calibri" w:cs="Calibri"/>
                      <w:b/>
                    </w:rPr>
                    <w:t>Narrative</w:t>
                  </w:r>
                </w:p>
              </w:tc>
            </w:tr>
            <w:tr w:rsidR="00CD4CAB" w:rsidTr="0094064F">
              <w:trPr>
                <w:trHeight w:val="1038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CAB" w:rsidRDefault="00CD4CAB" w:rsidP="0094064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48.</w:t>
                  </w:r>
                </w:p>
                <w:p w:rsidR="00CD4CAB" w:rsidRDefault="00CD4CAB" w:rsidP="0094064F">
                  <w:pPr>
                    <w:rPr>
                      <w:rFonts w:ascii="Calibri" w:hAnsi="Calibri" w:cs="Calibri"/>
                    </w:rPr>
                  </w:pPr>
                </w:p>
                <w:p w:rsidR="00CD4CAB" w:rsidRDefault="00CD4CAB" w:rsidP="0094064F">
                  <w:pPr>
                    <w:rPr>
                      <w:rFonts w:ascii="Calibri" w:hAnsi="Calibri" w:cs="Calibri"/>
                    </w:rPr>
                  </w:pPr>
                </w:p>
                <w:p w:rsidR="00CD4CAB" w:rsidRDefault="00CD4CAB" w:rsidP="0094064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CAB" w:rsidRDefault="00CD4CAB" w:rsidP="0094064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Appointment and re-appointment of all non-executives and advisors</w:t>
                  </w:r>
                </w:p>
                <w:p w:rsidR="00CD4CAB" w:rsidRDefault="00CD4CAB" w:rsidP="0094064F">
                  <w:pPr>
                    <w:rPr>
                      <w:rFonts w:ascii="Calibri" w:hAnsi="Calibri" w:cs="Calibri"/>
                    </w:rPr>
                  </w:pPr>
                </w:p>
                <w:p w:rsidR="00CD4CAB" w:rsidRPr="00EA0B74" w:rsidDel="007350B8" w:rsidRDefault="00CD4CAB" w:rsidP="0094064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CAB" w:rsidRPr="00EA0B74" w:rsidDel="007350B8" w:rsidRDefault="00CD4CAB" w:rsidP="0094064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Board 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4CAB" w:rsidRDefault="00CD4CAB" w:rsidP="0094064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The Board, advised by the Remuneration and Appointments Committee, appoints members of:</w:t>
                  </w:r>
                </w:p>
                <w:p w:rsidR="00CD4CAB" w:rsidRDefault="00CD4CAB" w:rsidP="0094064F">
                  <w:pPr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>the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Investigations Pool; inquirers; Professional Conduct Committee members and chairs; examiners; independent examiners and all other external advisers.  </w:t>
                  </w:r>
                </w:p>
                <w:p w:rsidR="00CD4CAB" w:rsidRDefault="00CD4CAB" w:rsidP="0094064F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CD4CAB" w:rsidRDefault="00CD4CAB" w:rsidP="00F03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488" w:rsidRPr="00D340C3" w:rsidTr="00FB0030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CE7488" w:rsidRPr="00D340C3" w:rsidRDefault="00CE7488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93" w:type="dxa"/>
            <w:gridSpan w:val="5"/>
            <w:shd w:val="clear" w:color="auto" w:fill="auto"/>
          </w:tcPr>
          <w:p w:rsidR="00CE7488" w:rsidRDefault="00CE7488" w:rsidP="00C7435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007E" w:rsidRPr="00D340C3" w:rsidRDefault="003D007E" w:rsidP="00C7435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488" w:rsidRPr="00D340C3" w:rsidTr="00FB0030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CE7488" w:rsidRPr="00D340C3" w:rsidRDefault="00CE7488" w:rsidP="00F33A7F">
            <w:pPr>
              <w:spacing w:before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93" w:type="dxa"/>
            <w:gridSpan w:val="5"/>
            <w:shd w:val="clear" w:color="auto" w:fill="auto"/>
          </w:tcPr>
          <w:p w:rsidR="00AE6420" w:rsidRPr="00D340C3" w:rsidRDefault="008E3182" w:rsidP="00F2664D">
            <w:pPr>
              <w:spacing w:before="40" w:after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Resource implications</w:t>
            </w:r>
          </w:p>
        </w:tc>
      </w:tr>
      <w:tr w:rsidR="008E3182" w:rsidRPr="00D340C3" w:rsidTr="00FB0030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8E3182" w:rsidRDefault="008E3182" w:rsidP="00F33A7F">
            <w:pPr>
              <w:spacing w:before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</w:p>
        </w:tc>
        <w:tc>
          <w:tcPr>
            <w:tcW w:w="9293" w:type="dxa"/>
            <w:gridSpan w:val="5"/>
            <w:shd w:val="clear" w:color="auto" w:fill="auto"/>
          </w:tcPr>
          <w:p w:rsidR="008E3182" w:rsidRDefault="008E3182" w:rsidP="008E3182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cost of the proposal is factored into the budget for 2020/2021.</w:t>
            </w:r>
          </w:p>
          <w:p w:rsidR="008E3182" w:rsidRPr="008E3182" w:rsidRDefault="008E3182" w:rsidP="008E3182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7488" w:rsidRPr="00D340C3" w:rsidTr="00FB0030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CE7488" w:rsidRPr="00D340C3" w:rsidRDefault="00CE7488" w:rsidP="00F33A7F">
            <w:pPr>
              <w:spacing w:before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7.</w:t>
            </w:r>
          </w:p>
        </w:tc>
        <w:tc>
          <w:tcPr>
            <w:tcW w:w="9293" w:type="dxa"/>
            <w:gridSpan w:val="5"/>
            <w:shd w:val="clear" w:color="auto" w:fill="auto"/>
          </w:tcPr>
          <w:p w:rsidR="00CE7488" w:rsidRPr="00D340C3" w:rsidRDefault="00CE7488" w:rsidP="00C7435E">
            <w:pPr>
              <w:spacing w:before="40" w:after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Risk Implications</w:t>
            </w:r>
          </w:p>
        </w:tc>
      </w:tr>
      <w:tr w:rsidR="00CE7488" w:rsidRPr="00D340C3" w:rsidTr="00FB0030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CE7488" w:rsidRPr="00D340C3" w:rsidRDefault="00CE7488" w:rsidP="00C64A53">
            <w:pPr>
              <w:spacing w:before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</w:p>
        </w:tc>
        <w:tc>
          <w:tcPr>
            <w:tcW w:w="9293" w:type="dxa"/>
            <w:gridSpan w:val="5"/>
            <w:shd w:val="clear" w:color="auto" w:fill="auto"/>
          </w:tcPr>
          <w:p w:rsidR="00FB0030" w:rsidRDefault="008E3182" w:rsidP="00FB00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This proposal was developed to ensure clarity of process to ensure no policies are breached due to lack of clarity around appointments.  </w:t>
            </w:r>
            <w:r w:rsidR="00B32C2D">
              <w:rPr>
                <w:rFonts w:asciiTheme="minorHAnsi" w:hAnsiTheme="minorHAnsi" w:cstheme="minorHAnsi"/>
                <w:sz w:val="24"/>
                <w:szCs w:val="24"/>
              </w:rPr>
              <w:t xml:space="preserve">Having a balance of Board and </w:t>
            </w:r>
            <w:r w:rsidR="00DA292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B32C2D">
              <w:rPr>
                <w:rFonts w:asciiTheme="minorHAnsi" w:hAnsiTheme="minorHAnsi" w:cstheme="minorHAnsi"/>
                <w:sz w:val="24"/>
                <w:szCs w:val="24"/>
              </w:rPr>
              <w:t>xecutive ensures b</w:t>
            </w:r>
            <w:r w:rsidR="00DA292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B32C2D">
              <w:rPr>
                <w:rFonts w:asciiTheme="minorHAnsi" w:hAnsiTheme="minorHAnsi" w:cstheme="minorHAnsi"/>
                <w:sz w:val="24"/>
                <w:szCs w:val="24"/>
              </w:rPr>
              <w:t xml:space="preserve">y in from both group of stakeholders. </w:t>
            </w:r>
          </w:p>
          <w:p w:rsidR="008E3182" w:rsidRPr="00D340C3" w:rsidRDefault="008E3182" w:rsidP="00FB0030">
            <w:pPr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</w:p>
        </w:tc>
      </w:tr>
      <w:tr w:rsidR="00CE7488" w:rsidRPr="00D340C3" w:rsidTr="00FB0030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CE7488" w:rsidRPr="00D340C3" w:rsidRDefault="00CE7488" w:rsidP="00F33A7F">
            <w:pPr>
              <w:spacing w:before="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8.</w:t>
            </w:r>
          </w:p>
        </w:tc>
        <w:tc>
          <w:tcPr>
            <w:tcW w:w="9293" w:type="dxa"/>
            <w:gridSpan w:val="5"/>
            <w:shd w:val="clear" w:color="auto" w:fill="auto"/>
          </w:tcPr>
          <w:p w:rsidR="00CE7488" w:rsidRPr="00D340C3" w:rsidRDefault="00CE7488" w:rsidP="00C7435E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Communication</w:t>
            </w:r>
          </w:p>
        </w:tc>
      </w:tr>
      <w:tr w:rsidR="00CE7488" w:rsidRPr="00D340C3" w:rsidTr="00FB0030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CE7488" w:rsidRPr="00D340C3" w:rsidRDefault="00CE7488" w:rsidP="00CE7488">
            <w:pPr>
              <w:spacing w:before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</w:p>
        </w:tc>
        <w:tc>
          <w:tcPr>
            <w:tcW w:w="9293" w:type="dxa"/>
            <w:gridSpan w:val="5"/>
            <w:shd w:val="clear" w:color="auto" w:fill="auto"/>
          </w:tcPr>
          <w:p w:rsidR="00CE7488" w:rsidRPr="00134392" w:rsidRDefault="00134392" w:rsidP="00F2664D">
            <w:pPr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ARB has in place an appointments policy that is practicable but gives the Board sufficient oversight of those carrying out work on its behalf. The policy creates a balance between developing expertise and creating new opportunities for people to work with ARB.</w:t>
            </w:r>
          </w:p>
          <w:p w:rsidR="00623146" w:rsidRPr="00D340C3" w:rsidRDefault="00623146" w:rsidP="00F2664D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</w:p>
        </w:tc>
      </w:tr>
      <w:tr w:rsidR="00CE7488" w:rsidRPr="00D340C3" w:rsidTr="00FB0030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CE7488" w:rsidRPr="00D340C3" w:rsidRDefault="00CE7488" w:rsidP="00F33A7F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9.</w:t>
            </w:r>
          </w:p>
        </w:tc>
        <w:tc>
          <w:tcPr>
            <w:tcW w:w="9293" w:type="dxa"/>
            <w:gridSpan w:val="5"/>
            <w:shd w:val="clear" w:color="auto" w:fill="auto"/>
          </w:tcPr>
          <w:p w:rsidR="00CE7488" w:rsidRPr="00F33A7F" w:rsidRDefault="00CE7488" w:rsidP="002F3E8C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>Equality and Diversity Implications</w:t>
            </w:r>
          </w:p>
        </w:tc>
      </w:tr>
      <w:tr w:rsidR="00CE7488" w:rsidRPr="00D340C3" w:rsidTr="004E4DD3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CE7488" w:rsidRPr="00D340C3" w:rsidRDefault="00CE7488" w:rsidP="00C7435E">
            <w:pPr>
              <w:spacing w:before="40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  <w:t xml:space="preserve"> </w:t>
            </w:r>
          </w:p>
        </w:tc>
        <w:tc>
          <w:tcPr>
            <w:tcW w:w="9293" w:type="dxa"/>
            <w:gridSpan w:val="5"/>
            <w:shd w:val="clear" w:color="auto" w:fill="auto"/>
          </w:tcPr>
          <w:p w:rsidR="00CE7488" w:rsidRPr="00134392" w:rsidRDefault="00134392" w:rsidP="00F2664D">
            <w:pPr>
              <w:spacing w:before="40"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policy to limit the term of office available to appointees will increase the number of roles available to individuals in future, which will in turn encourage diversity.</w:t>
            </w:r>
          </w:p>
          <w:p w:rsidR="00623146" w:rsidRPr="00D340C3" w:rsidRDefault="00623146" w:rsidP="00F2664D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</w:p>
        </w:tc>
      </w:tr>
      <w:tr w:rsidR="00CE7488" w:rsidRPr="00D340C3" w:rsidTr="004E4DD3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CE7488" w:rsidRPr="00D340C3" w:rsidRDefault="00CE7488" w:rsidP="00C7435E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0</w:t>
            </w:r>
            <w:r w:rsidRPr="00D340C3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.</w:t>
            </w:r>
          </w:p>
        </w:tc>
        <w:tc>
          <w:tcPr>
            <w:tcW w:w="9293" w:type="dxa"/>
            <w:gridSpan w:val="5"/>
            <w:shd w:val="clear" w:color="auto" w:fill="auto"/>
          </w:tcPr>
          <w:p w:rsidR="00CE7488" w:rsidRPr="00B87295" w:rsidRDefault="00CE7488" w:rsidP="00B87295">
            <w:pPr>
              <w:spacing w:before="40" w:after="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340C3">
              <w:rPr>
                <w:rFonts w:asciiTheme="minorHAnsi" w:hAnsiTheme="minorHAnsi" w:cstheme="minorHAnsi"/>
                <w:b/>
                <w:color w:val="548DD4" w:themeColor="text2" w:themeTint="99"/>
                <w:sz w:val="24"/>
                <w:szCs w:val="24"/>
              </w:rPr>
              <w:t>Further Actions</w:t>
            </w:r>
          </w:p>
        </w:tc>
      </w:tr>
      <w:tr w:rsidR="00CE7488" w:rsidRPr="00D340C3" w:rsidTr="004E4DD3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CE7488" w:rsidRPr="007041FB" w:rsidRDefault="00CE7488" w:rsidP="00CE7488">
            <w:pPr>
              <w:spacing w:before="40"/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9293" w:type="dxa"/>
            <w:gridSpan w:val="5"/>
            <w:shd w:val="clear" w:color="auto" w:fill="auto"/>
          </w:tcPr>
          <w:p w:rsidR="00CE7488" w:rsidRDefault="007041FB" w:rsidP="007041FB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Scheme of Delegation will be updated to reflect the new process</w:t>
            </w:r>
          </w:p>
          <w:p w:rsidR="007041FB" w:rsidRDefault="007041FB" w:rsidP="007041FB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ARBs polices will be updated to reflect the new process</w:t>
            </w:r>
          </w:p>
          <w:p w:rsidR="007041FB" w:rsidRPr="007041FB" w:rsidRDefault="003D007E" w:rsidP="007041FB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General R</w:t>
            </w:r>
            <w:r w:rsidR="007041FB">
              <w:rPr>
                <w:rFonts w:asciiTheme="minorHAnsi" w:hAnsiTheme="minorHAnsi" w:cstheme="minorHAnsi"/>
                <w:sz w:val="24"/>
                <w:szCs w:val="24"/>
              </w:rPr>
              <w:t>ules will be updated as the next opportunity (est. December 2020/January 2021)</w:t>
            </w:r>
          </w:p>
          <w:p w:rsidR="00623146" w:rsidRPr="007041FB" w:rsidRDefault="00623146" w:rsidP="00AF5E5D">
            <w:pPr>
              <w:spacing w:before="40" w:after="40"/>
              <w:rPr>
                <w:rFonts w:asciiTheme="minorHAnsi" w:hAnsiTheme="minorHAnsi" w:cstheme="minorHAnsi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3F6506" w:rsidRPr="007A7CBC" w:rsidRDefault="003F6506">
      <w:pPr>
        <w:rPr>
          <w:rFonts w:ascii="Helvetica 65 Medium" w:hAnsi="Helvetica 65 Medium"/>
          <w:sz w:val="24"/>
          <w:szCs w:val="24"/>
        </w:rPr>
      </w:pPr>
    </w:p>
    <w:sectPr w:rsidR="003F6506" w:rsidRPr="007A7CBC" w:rsidSect="00A67D02">
      <w:headerReference w:type="default" r:id="rId11"/>
      <w:footerReference w:type="default" r:id="rId12"/>
      <w:pgSz w:w="11906" w:h="16838" w:code="9"/>
      <w:pgMar w:top="567" w:right="1134" w:bottom="113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86" w:rsidRDefault="00DE7B86">
      <w:r>
        <w:separator/>
      </w:r>
    </w:p>
  </w:endnote>
  <w:endnote w:type="continuationSeparator" w:id="0">
    <w:p w:rsidR="00DE7B86" w:rsidRDefault="00D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65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D7" w:rsidRDefault="007041FB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Board Meeting</w:t>
    </w:r>
  </w:p>
  <w:p w:rsidR="007041FB" w:rsidRDefault="003D007E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02/10</w:t>
    </w:r>
    <w:r w:rsidR="007041FB">
      <w:rPr>
        <w:rFonts w:ascii="Calibri" w:hAnsi="Calibri" w:cs="Calibri"/>
        <w:sz w:val="16"/>
        <w:szCs w:val="16"/>
      </w:rPr>
      <w:t>/2020</w:t>
    </w:r>
  </w:p>
  <w:p w:rsidR="007041FB" w:rsidRPr="008F0889" w:rsidRDefault="007041FB">
    <w:pPr>
      <w:pStyle w:val="Foo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Open</w:t>
    </w:r>
  </w:p>
  <w:p w:rsidR="00AF00D7" w:rsidRDefault="00AF00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86" w:rsidRDefault="00DE7B86">
      <w:r>
        <w:separator/>
      </w:r>
    </w:p>
  </w:footnote>
  <w:footnote w:type="continuationSeparator" w:id="0">
    <w:p w:rsidR="00DE7B86" w:rsidRDefault="00DE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BA" w:rsidRPr="001403E3" w:rsidRDefault="00AF00D7" w:rsidP="005D5486">
    <w:pPr>
      <w:tabs>
        <w:tab w:val="left" w:pos="1134"/>
      </w:tabs>
      <w:ind w:left="567" w:hanging="567"/>
      <w:jc w:val="right"/>
      <w:rPr>
        <w:rFonts w:ascii="Calibri" w:hAnsi="Calibri" w:cs="Calibri"/>
        <w:b/>
        <w:sz w:val="24"/>
        <w:szCs w:val="24"/>
      </w:rPr>
    </w:pPr>
    <w:r w:rsidRPr="001403E3">
      <w:rPr>
        <w:rFonts w:ascii="Calibri" w:hAnsi="Calibri" w:cs="Calibri"/>
        <w:b/>
        <w:sz w:val="24"/>
        <w:szCs w:val="24"/>
      </w:rPr>
      <w:t xml:space="preserve">Continuation of agenda item </w:t>
    </w:r>
    <w:r w:rsidR="00435B06">
      <w:rPr>
        <w:rFonts w:ascii="Calibri" w:hAnsi="Calibri" w:cs="Calibri"/>
        <w:b/>
        <w:sz w:val="24"/>
        <w:szCs w:val="24"/>
      </w:rPr>
      <w:t>7</w:t>
    </w:r>
  </w:p>
  <w:p w:rsidR="00AF00D7" w:rsidRPr="00F33A7F" w:rsidRDefault="00AF00D7" w:rsidP="005D5486">
    <w:pPr>
      <w:tabs>
        <w:tab w:val="left" w:pos="1134"/>
      </w:tabs>
      <w:ind w:left="567" w:hanging="567"/>
      <w:jc w:val="right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1B9"/>
    <w:multiLevelType w:val="hybridMultilevel"/>
    <w:tmpl w:val="3822D4CE"/>
    <w:lvl w:ilvl="0" w:tplc="EF2CFE72">
      <w:start w:val="1"/>
      <w:numFmt w:val="lowerRoman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17F"/>
    <w:multiLevelType w:val="hybridMultilevel"/>
    <w:tmpl w:val="9134FB96"/>
    <w:lvl w:ilvl="0" w:tplc="861420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6B7"/>
    <w:multiLevelType w:val="hybridMultilevel"/>
    <w:tmpl w:val="2DD6D77E"/>
    <w:lvl w:ilvl="0" w:tplc="33BC0F74">
      <w:start w:val="1"/>
      <w:numFmt w:val="lowerRoman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7FC4"/>
    <w:multiLevelType w:val="hybridMultilevel"/>
    <w:tmpl w:val="8912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7490"/>
    <w:multiLevelType w:val="hybridMultilevel"/>
    <w:tmpl w:val="C884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272A"/>
    <w:multiLevelType w:val="hybridMultilevel"/>
    <w:tmpl w:val="4A6213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E6B93"/>
    <w:multiLevelType w:val="hybridMultilevel"/>
    <w:tmpl w:val="0064706C"/>
    <w:lvl w:ilvl="0" w:tplc="FD5EB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43B7"/>
    <w:multiLevelType w:val="hybridMultilevel"/>
    <w:tmpl w:val="18BC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710BE"/>
    <w:multiLevelType w:val="hybridMultilevel"/>
    <w:tmpl w:val="D99497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20D94"/>
    <w:multiLevelType w:val="hybridMultilevel"/>
    <w:tmpl w:val="8D125612"/>
    <w:lvl w:ilvl="0" w:tplc="770EEAF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4" w:hanging="360"/>
      </w:pPr>
    </w:lvl>
    <w:lvl w:ilvl="2" w:tplc="0809001B" w:tentative="1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>
    <w:nsid w:val="53AE1066"/>
    <w:multiLevelType w:val="hybridMultilevel"/>
    <w:tmpl w:val="AB30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551EA"/>
    <w:multiLevelType w:val="hybridMultilevel"/>
    <w:tmpl w:val="D0FC01CC"/>
    <w:lvl w:ilvl="0" w:tplc="606EB8B0">
      <w:start w:val="1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6131E"/>
    <w:multiLevelType w:val="hybridMultilevel"/>
    <w:tmpl w:val="452C2C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84AE9"/>
    <w:multiLevelType w:val="hybridMultilevel"/>
    <w:tmpl w:val="14765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018F7"/>
    <w:multiLevelType w:val="hybridMultilevel"/>
    <w:tmpl w:val="050AC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F71811"/>
    <w:multiLevelType w:val="hybridMultilevel"/>
    <w:tmpl w:val="017A1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5551B"/>
    <w:multiLevelType w:val="hybridMultilevel"/>
    <w:tmpl w:val="653E5D3E"/>
    <w:lvl w:ilvl="0" w:tplc="41C4894C">
      <w:start w:val="1"/>
      <w:numFmt w:val="lowerRoman"/>
      <w:lvlText w:val="%1."/>
      <w:lvlJc w:val="right"/>
      <w:pPr>
        <w:tabs>
          <w:tab w:val="num" w:pos="340"/>
        </w:tabs>
        <w:ind w:left="340" w:hanging="52"/>
      </w:pPr>
      <w:rPr>
        <w:rFonts w:ascii="Helvetica 65 Medium" w:hAnsi="Helvetica 65 Medium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AD19A3"/>
    <w:multiLevelType w:val="hybridMultilevel"/>
    <w:tmpl w:val="C4B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A37CC"/>
    <w:multiLevelType w:val="hybridMultilevel"/>
    <w:tmpl w:val="7EB0B0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FE20D5"/>
    <w:multiLevelType w:val="hybridMultilevel"/>
    <w:tmpl w:val="F0A6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D2C59"/>
    <w:multiLevelType w:val="hybridMultilevel"/>
    <w:tmpl w:val="1D92D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E5736"/>
    <w:multiLevelType w:val="hybridMultilevel"/>
    <w:tmpl w:val="E4BC8A2E"/>
    <w:lvl w:ilvl="0" w:tplc="BCA22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C75F0"/>
    <w:multiLevelType w:val="hybridMultilevel"/>
    <w:tmpl w:val="22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90AD8"/>
    <w:multiLevelType w:val="hybridMultilevel"/>
    <w:tmpl w:val="28A466E8"/>
    <w:lvl w:ilvl="0" w:tplc="9168D1F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9"/>
  </w:num>
  <w:num w:numId="5">
    <w:abstractNumId w:val="23"/>
  </w:num>
  <w:num w:numId="6">
    <w:abstractNumId w:val="15"/>
  </w:num>
  <w:num w:numId="7">
    <w:abstractNumId w:val="21"/>
  </w:num>
  <w:num w:numId="8">
    <w:abstractNumId w:val="7"/>
  </w:num>
  <w:num w:numId="9">
    <w:abstractNumId w:val="18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6"/>
  </w:num>
  <w:num w:numId="21">
    <w:abstractNumId w:val="11"/>
  </w:num>
  <w:num w:numId="22">
    <w:abstractNumId w:val="22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90"/>
    <w:rsid w:val="000044D8"/>
    <w:rsid w:val="00010578"/>
    <w:rsid w:val="0001471C"/>
    <w:rsid w:val="000205C1"/>
    <w:rsid w:val="0003256F"/>
    <w:rsid w:val="00034550"/>
    <w:rsid w:val="0003687B"/>
    <w:rsid w:val="00041C07"/>
    <w:rsid w:val="000473AD"/>
    <w:rsid w:val="00051533"/>
    <w:rsid w:val="000552AB"/>
    <w:rsid w:val="00061323"/>
    <w:rsid w:val="0006597F"/>
    <w:rsid w:val="0008039E"/>
    <w:rsid w:val="00083A8D"/>
    <w:rsid w:val="000A209B"/>
    <w:rsid w:val="000A5413"/>
    <w:rsid w:val="000A63A2"/>
    <w:rsid w:val="000A6F3B"/>
    <w:rsid w:val="000B6887"/>
    <w:rsid w:val="000C067C"/>
    <w:rsid w:val="000C2081"/>
    <w:rsid w:val="000C30B6"/>
    <w:rsid w:val="000C44E0"/>
    <w:rsid w:val="000C6544"/>
    <w:rsid w:val="000D1D67"/>
    <w:rsid w:val="000E03F5"/>
    <w:rsid w:val="000E5497"/>
    <w:rsid w:val="000E67D7"/>
    <w:rsid w:val="000E6913"/>
    <w:rsid w:val="000F03C7"/>
    <w:rsid w:val="000F08E9"/>
    <w:rsid w:val="000F3DF2"/>
    <w:rsid w:val="000F777A"/>
    <w:rsid w:val="000F7C8F"/>
    <w:rsid w:val="00101B16"/>
    <w:rsid w:val="00102268"/>
    <w:rsid w:val="00102A9F"/>
    <w:rsid w:val="00102BF0"/>
    <w:rsid w:val="00104CBF"/>
    <w:rsid w:val="00104F3E"/>
    <w:rsid w:val="00110BC2"/>
    <w:rsid w:val="00111B11"/>
    <w:rsid w:val="00115880"/>
    <w:rsid w:val="00121212"/>
    <w:rsid w:val="00121DEE"/>
    <w:rsid w:val="0012250C"/>
    <w:rsid w:val="0012298C"/>
    <w:rsid w:val="00122AE5"/>
    <w:rsid w:val="00123855"/>
    <w:rsid w:val="0012401D"/>
    <w:rsid w:val="001265C4"/>
    <w:rsid w:val="00131386"/>
    <w:rsid w:val="00134392"/>
    <w:rsid w:val="001403E3"/>
    <w:rsid w:val="00151E18"/>
    <w:rsid w:val="001522F2"/>
    <w:rsid w:val="00152D63"/>
    <w:rsid w:val="0015319D"/>
    <w:rsid w:val="001539CD"/>
    <w:rsid w:val="00155129"/>
    <w:rsid w:val="001628F6"/>
    <w:rsid w:val="0016390A"/>
    <w:rsid w:val="0018441D"/>
    <w:rsid w:val="0019191A"/>
    <w:rsid w:val="001934B9"/>
    <w:rsid w:val="001977EC"/>
    <w:rsid w:val="001A6473"/>
    <w:rsid w:val="001B090F"/>
    <w:rsid w:val="001B1863"/>
    <w:rsid w:val="001C428C"/>
    <w:rsid w:val="001C7190"/>
    <w:rsid w:val="001D1832"/>
    <w:rsid w:val="001D1D1F"/>
    <w:rsid w:val="001D1F38"/>
    <w:rsid w:val="001D60AD"/>
    <w:rsid w:val="001E021C"/>
    <w:rsid w:val="001F1224"/>
    <w:rsid w:val="001F71B4"/>
    <w:rsid w:val="00211D96"/>
    <w:rsid w:val="002156B7"/>
    <w:rsid w:val="00217C07"/>
    <w:rsid w:val="00220D76"/>
    <w:rsid w:val="00222837"/>
    <w:rsid w:val="0022306A"/>
    <w:rsid w:val="00223411"/>
    <w:rsid w:val="002238C2"/>
    <w:rsid w:val="00224BEA"/>
    <w:rsid w:val="0022615C"/>
    <w:rsid w:val="00230E18"/>
    <w:rsid w:val="002313B4"/>
    <w:rsid w:val="00231A94"/>
    <w:rsid w:val="00233502"/>
    <w:rsid w:val="00241879"/>
    <w:rsid w:val="00241CB9"/>
    <w:rsid w:val="00241E2E"/>
    <w:rsid w:val="00242E7F"/>
    <w:rsid w:val="002438DB"/>
    <w:rsid w:val="002525C0"/>
    <w:rsid w:val="00252AA1"/>
    <w:rsid w:val="00254562"/>
    <w:rsid w:val="002667A5"/>
    <w:rsid w:val="00266937"/>
    <w:rsid w:val="00277B74"/>
    <w:rsid w:val="002818DB"/>
    <w:rsid w:val="00290707"/>
    <w:rsid w:val="002964E2"/>
    <w:rsid w:val="002A311F"/>
    <w:rsid w:val="002A5753"/>
    <w:rsid w:val="002A7B5A"/>
    <w:rsid w:val="002B2437"/>
    <w:rsid w:val="002C17B9"/>
    <w:rsid w:val="002C3DEC"/>
    <w:rsid w:val="002C4F8D"/>
    <w:rsid w:val="002D436C"/>
    <w:rsid w:val="002F1348"/>
    <w:rsid w:val="002F3E8C"/>
    <w:rsid w:val="002F7DF9"/>
    <w:rsid w:val="00300226"/>
    <w:rsid w:val="0030141B"/>
    <w:rsid w:val="00301DF7"/>
    <w:rsid w:val="00303FCF"/>
    <w:rsid w:val="003165F4"/>
    <w:rsid w:val="003171A2"/>
    <w:rsid w:val="00323AA7"/>
    <w:rsid w:val="003339C7"/>
    <w:rsid w:val="00335E11"/>
    <w:rsid w:val="00337C05"/>
    <w:rsid w:val="003462CB"/>
    <w:rsid w:val="0035263D"/>
    <w:rsid w:val="00353BB5"/>
    <w:rsid w:val="00354A0D"/>
    <w:rsid w:val="00361FD2"/>
    <w:rsid w:val="003635A8"/>
    <w:rsid w:val="003659ED"/>
    <w:rsid w:val="00370A13"/>
    <w:rsid w:val="00371372"/>
    <w:rsid w:val="00373B52"/>
    <w:rsid w:val="00375333"/>
    <w:rsid w:val="003767D4"/>
    <w:rsid w:val="00380116"/>
    <w:rsid w:val="00381801"/>
    <w:rsid w:val="00390AC5"/>
    <w:rsid w:val="00394F2C"/>
    <w:rsid w:val="00396856"/>
    <w:rsid w:val="003A10E2"/>
    <w:rsid w:val="003A54E0"/>
    <w:rsid w:val="003B2B44"/>
    <w:rsid w:val="003B6021"/>
    <w:rsid w:val="003C09FC"/>
    <w:rsid w:val="003C13D8"/>
    <w:rsid w:val="003C4F1D"/>
    <w:rsid w:val="003D007E"/>
    <w:rsid w:val="003D2202"/>
    <w:rsid w:val="003D6393"/>
    <w:rsid w:val="003D6C2B"/>
    <w:rsid w:val="003E1BE3"/>
    <w:rsid w:val="003E2F47"/>
    <w:rsid w:val="003E5FDC"/>
    <w:rsid w:val="003F4696"/>
    <w:rsid w:val="003F5F2A"/>
    <w:rsid w:val="003F6506"/>
    <w:rsid w:val="004016E7"/>
    <w:rsid w:val="004020E9"/>
    <w:rsid w:val="00415FF1"/>
    <w:rsid w:val="00420508"/>
    <w:rsid w:val="0042145F"/>
    <w:rsid w:val="004229E7"/>
    <w:rsid w:val="0042428A"/>
    <w:rsid w:val="00432CA1"/>
    <w:rsid w:val="00433C1F"/>
    <w:rsid w:val="00435B06"/>
    <w:rsid w:val="004416C0"/>
    <w:rsid w:val="004420E6"/>
    <w:rsid w:val="00451033"/>
    <w:rsid w:val="004526A6"/>
    <w:rsid w:val="004702F4"/>
    <w:rsid w:val="00483259"/>
    <w:rsid w:val="00484D98"/>
    <w:rsid w:val="00490128"/>
    <w:rsid w:val="004979BA"/>
    <w:rsid w:val="004B4E38"/>
    <w:rsid w:val="004B4EBA"/>
    <w:rsid w:val="004C0C44"/>
    <w:rsid w:val="004C583A"/>
    <w:rsid w:val="004D3AD6"/>
    <w:rsid w:val="004D4B23"/>
    <w:rsid w:val="004E4DD3"/>
    <w:rsid w:val="004E56AD"/>
    <w:rsid w:val="004E7876"/>
    <w:rsid w:val="004F1F51"/>
    <w:rsid w:val="004F39ED"/>
    <w:rsid w:val="004F4FA5"/>
    <w:rsid w:val="005016C3"/>
    <w:rsid w:val="00501DAB"/>
    <w:rsid w:val="0050369D"/>
    <w:rsid w:val="0050372F"/>
    <w:rsid w:val="005106CD"/>
    <w:rsid w:val="005163E2"/>
    <w:rsid w:val="00523614"/>
    <w:rsid w:val="00524232"/>
    <w:rsid w:val="005249F9"/>
    <w:rsid w:val="005278FA"/>
    <w:rsid w:val="00534A34"/>
    <w:rsid w:val="00536108"/>
    <w:rsid w:val="00540C82"/>
    <w:rsid w:val="005579DA"/>
    <w:rsid w:val="00562390"/>
    <w:rsid w:val="00565C74"/>
    <w:rsid w:val="0056733D"/>
    <w:rsid w:val="0057381D"/>
    <w:rsid w:val="00580DC3"/>
    <w:rsid w:val="005838C8"/>
    <w:rsid w:val="005843BA"/>
    <w:rsid w:val="00595F38"/>
    <w:rsid w:val="00596829"/>
    <w:rsid w:val="00596E1B"/>
    <w:rsid w:val="005A42B0"/>
    <w:rsid w:val="005A436D"/>
    <w:rsid w:val="005B5108"/>
    <w:rsid w:val="005B77DA"/>
    <w:rsid w:val="005C2813"/>
    <w:rsid w:val="005D0607"/>
    <w:rsid w:val="005D06EA"/>
    <w:rsid w:val="005D356A"/>
    <w:rsid w:val="005D5486"/>
    <w:rsid w:val="005E0E87"/>
    <w:rsid w:val="005E75E4"/>
    <w:rsid w:val="00603B1E"/>
    <w:rsid w:val="00606807"/>
    <w:rsid w:val="00607224"/>
    <w:rsid w:val="00612C19"/>
    <w:rsid w:val="00621D3C"/>
    <w:rsid w:val="00622055"/>
    <w:rsid w:val="00623146"/>
    <w:rsid w:val="006234CE"/>
    <w:rsid w:val="00624B5C"/>
    <w:rsid w:val="0062536C"/>
    <w:rsid w:val="006268D0"/>
    <w:rsid w:val="00626D65"/>
    <w:rsid w:val="00633785"/>
    <w:rsid w:val="006341AE"/>
    <w:rsid w:val="00635EEF"/>
    <w:rsid w:val="00637AA7"/>
    <w:rsid w:val="0064461B"/>
    <w:rsid w:val="00654751"/>
    <w:rsid w:val="00657792"/>
    <w:rsid w:val="00663624"/>
    <w:rsid w:val="00683A7F"/>
    <w:rsid w:val="00683DFB"/>
    <w:rsid w:val="00684A10"/>
    <w:rsid w:val="00685077"/>
    <w:rsid w:val="0068739F"/>
    <w:rsid w:val="00692062"/>
    <w:rsid w:val="00694BB4"/>
    <w:rsid w:val="00694D37"/>
    <w:rsid w:val="006A1058"/>
    <w:rsid w:val="006B3F94"/>
    <w:rsid w:val="006B507A"/>
    <w:rsid w:val="006B5BD6"/>
    <w:rsid w:val="006B6EA3"/>
    <w:rsid w:val="006C0DDC"/>
    <w:rsid w:val="006C2B50"/>
    <w:rsid w:val="006C500C"/>
    <w:rsid w:val="006D495D"/>
    <w:rsid w:val="006D5D35"/>
    <w:rsid w:val="006D5E7C"/>
    <w:rsid w:val="006D75B6"/>
    <w:rsid w:val="006F2E13"/>
    <w:rsid w:val="007002BA"/>
    <w:rsid w:val="007041FB"/>
    <w:rsid w:val="0070645A"/>
    <w:rsid w:val="00707B87"/>
    <w:rsid w:val="00707C2B"/>
    <w:rsid w:val="0071097D"/>
    <w:rsid w:val="00711F6C"/>
    <w:rsid w:val="00714A11"/>
    <w:rsid w:val="007215A4"/>
    <w:rsid w:val="00724755"/>
    <w:rsid w:val="007324C5"/>
    <w:rsid w:val="0073540A"/>
    <w:rsid w:val="00735E44"/>
    <w:rsid w:val="00741340"/>
    <w:rsid w:val="00745B82"/>
    <w:rsid w:val="007521B2"/>
    <w:rsid w:val="00756534"/>
    <w:rsid w:val="00757B82"/>
    <w:rsid w:val="00761F72"/>
    <w:rsid w:val="00762869"/>
    <w:rsid w:val="00781E38"/>
    <w:rsid w:val="007925C5"/>
    <w:rsid w:val="00794C8A"/>
    <w:rsid w:val="007A7CBC"/>
    <w:rsid w:val="007C0637"/>
    <w:rsid w:val="007C243E"/>
    <w:rsid w:val="007C4F1E"/>
    <w:rsid w:val="007D30B9"/>
    <w:rsid w:val="007D4426"/>
    <w:rsid w:val="007E0C66"/>
    <w:rsid w:val="007E3FBF"/>
    <w:rsid w:val="007E5088"/>
    <w:rsid w:val="007F594C"/>
    <w:rsid w:val="007F78BB"/>
    <w:rsid w:val="008026D0"/>
    <w:rsid w:val="00804E29"/>
    <w:rsid w:val="00812ABB"/>
    <w:rsid w:val="008133E5"/>
    <w:rsid w:val="00815D01"/>
    <w:rsid w:val="00821B1B"/>
    <w:rsid w:val="00833324"/>
    <w:rsid w:val="00833E88"/>
    <w:rsid w:val="00842819"/>
    <w:rsid w:val="008601C1"/>
    <w:rsid w:val="008611F3"/>
    <w:rsid w:val="0086129B"/>
    <w:rsid w:val="00867F9A"/>
    <w:rsid w:val="00871B11"/>
    <w:rsid w:val="00872EC2"/>
    <w:rsid w:val="008752EE"/>
    <w:rsid w:val="008763E9"/>
    <w:rsid w:val="00876636"/>
    <w:rsid w:val="008814DE"/>
    <w:rsid w:val="00882055"/>
    <w:rsid w:val="008840D7"/>
    <w:rsid w:val="00885923"/>
    <w:rsid w:val="00891DAC"/>
    <w:rsid w:val="008A6D0E"/>
    <w:rsid w:val="008A7064"/>
    <w:rsid w:val="008B286B"/>
    <w:rsid w:val="008B40B6"/>
    <w:rsid w:val="008B51AA"/>
    <w:rsid w:val="008C1914"/>
    <w:rsid w:val="008C205B"/>
    <w:rsid w:val="008C7DFF"/>
    <w:rsid w:val="008D048F"/>
    <w:rsid w:val="008D1A02"/>
    <w:rsid w:val="008D578F"/>
    <w:rsid w:val="008D62E8"/>
    <w:rsid w:val="008E1876"/>
    <w:rsid w:val="008E2840"/>
    <w:rsid w:val="008E3182"/>
    <w:rsid w:val="008F0889"/>
    <w:rsid w:val="00901A18"/>
    <w:rsid w:val="00902FCF"/>
    <w:rsid w:val="009112FF"/>
    <w:rsid w:val="00913E30"/>
    <w:rsid w:val="00914D70"/>
    <w:rsid w:val="00922807"/>
    <w:rsid w:val="00926503"/>
    <w:rsid w:val="009302BC"/>
    <w:rsid w:val="009323A1"/>
    <w:rsid w:val="00943FC4"/>
    <w:rsid w:val="00955243"/>
    <w:rsid w:val="00965AA3"/>
    <w:rsid w:val="00973FD5"/>
    <w:rsid w:val="00976EAA"/>
    <w:rsid w:val="00985054"/>
    <w:rsid w:val="00987181"/>
    <w:rsid w:val="00993EB6"/>
    <w:rsid w:val="009A01D8"/>
    <w:rsid w:val="009B2B95"/>
    <w:rsid w:val="009B67F5"/>
    <w:rsid w:val="009C662E"/>
    <w:rsid w:val="009D04EB"/>
    <w:rsid w:val="009D46EF"/>
    <w:rsid w:val="009D731F"/>
    <w:rsid w:val="009E20DE"/>
    <w:rsid w:val="009E30FA"/>
    <w:rsid w:val="009E3192"/>
    <w:rsid w:val="009E7D80"/>
    <w:rsid w:val="009F10A1"/>
    <w:rsid w:val="009F16B6"/>
    <w:rsid w:val="00A04AFC"/>
    <w:rsid w:val="00A11E4E"/>
    <w:rsid w:val="00A20459"/>
    <w:rsid w:val="00A217C4"/>
    <w:rsid w:val="00A23EFF"/>
    <w:rsid w:val="00A314F2"/>
    <w:rsid w:val="00A318A6"/>
    <w:rsid w:val="00A3277C"/>
    <w:rsid w:val="00A354F1"/>
    <w:rsid w:val="00A35F47"/>
    <w:rsid w:val="00A46771"/>
    <w:rsid w:val="00A64C19"/>
    <w:rsid w:val="00A66E7F"/>
    <w:rsid w:val="00A67D02"/>
    <w:rsid w:val="00A72692"/>
    <w:rsid w:val="00A908A0"/>
    <w:rsid w:val="00A91FE1"/>
    <w:rsid w:val="00A974FC"/>
    <w:rsid w:val="00AA38A3"/>
    <w:rsid w:val="00AA6234"/>
    <w:rsid w:val="00AB16F0"/>
    <w:rsid w:val="00AB508F"/>
    <w:rsid w:val="00AC2445"/>
    <w:rsid w:val="00AC3FE2"/>
    <w:rsid w:val="00AC74F8"/>
    <w:rsid w:val="00AD1E96"/>
    <w:rsid w:val="00AD575E"/>
    <w:rsid w:val="00AE1AA2"/>
    <w:rsid w:val="00AE358B"/>
    <w:rsid w:val="00AE6420"/>
    <w:rsid w:val="00AF00D7"/>
    <w:rsid w:val="00AF3E50"/>
    <w:rsid w:val="00AF5E5D"/>
    <w:rsid w:val="00B00031"/>
    <w:rsid w:val="00B02BC1"/>
    <w:rsid w:val="00B058EA"/>
    <w:rsid w:val="00B0636E"/>
    <w:rsid w:val="00B11CB9"/>
    <w:rsid w:val="00B1316D"/>
    <w:rsid w:val="00B14C87"/>
    <w:rsid w:val="00B207D5"/>
    <w:rsid w:val="00B24C93"/>
    <w:rsid w:val="00B32C2D"/>
    <w:rsid w:val="00B336C8"/>
    <w:rsid w:val="00B35843"/>
    <w:rsid w:val="00B41B19"/>
    <w:rsid w:val="00B5062D"/>
    <w:rsid w:val="00B54752"/>
    <w:rsid w:val="00B623DA"/>
    <w:rsid w:val="00B62B1C"/>
    <w:rsid w:val="00B656D8"/>
    <w:rsid w:val="00B6724C"/>
    <w:rsid w:val="00B70AD5"/>
    <w:rsid w:val="00B7108C"/>
    <w:rsid w:val="00B72AA3"/>
    <w:rsid w:val="00B730AC"/>
    <w:rsid w:val="00B74CA9"/>
    <w:rsid w:val="00B84527"/>
    <w:rsid w:val="00B87295"/>
    <w:rsid w:val="00B926DB"/>
    <w:rsid w:val="00B966F5"/>
    <w:rsid w:val="00BA15AB"/>
    <w:rsid w:val="00BA37DD"/>
    <w:rsid w:val="00BA6F60"/>
    <w:rsid w:val="00BB32D4"/>
    <w:rsid w:val="00BB5133"/>
    <w:rsid w:val="00BC1C6B"/>
    <w:rsid w:val="00BC3C62"/>
    <w:rsid w:val="00BD7378"/>
    <w:rsid w:val="00BD73E5"/>
    <w:rsid w:val="00BE015A"/>
    <w:rsid w:val="00BF707F"/>
    <w:rsid w:val="00C028D1"/>
    <w:rsid w:val="00C12BE9"/>
    <w:rsid w:val="00C1647E"/>
    <w:rsid w:val="00C17258"/>
    <w:rsid w:val="00C2466B"/>
    <w:rsid w:val="00C259F1"/>
    <w:rsid w:val="00C271B8"/>
    <w:rsid w:val="00C35107"/>
    <w:rsid w:val="00C43F59"/>
    <w:rsid w:val="00C44E53"/>
    <w:rsid w:val="00C4677F"/>
    <w:rsid w:val="00C649C8"/>
    <w:rsid w:val="00C73B5E"/>
    <w:rsid w:val="00C7435E"/>
    <w:rsid w:val="00C757E3"/>
    <w:rsid w:val="00C80270"/>
    <w:rsid w:val="00C806F5"/>
    <w:rsid w:val="00C849CA"/>
    <w:rsid w:val="00C84DCA"/>
    <w:rsid w:val="00C927EE"/>
    <w:rsid w:val="00C939A0"/>
    <w:rsid w:val="00CA08DE"/>
    <w:rsid w:val="00CA3638"/>
    <w:rsid w:val="00CA7C2D"/>
    <w:rsid w:val="00CB2D61"/>
    <w:rsid w:val="00CB74B2"/>
    <w:rsid w:val="00CC4533"/>
    <w:rsid w:val="00CD17D4"/>
    <w:rsid w:val="00CD4CAB"/>
    <w:rsid w:val="00CD5401"/>
    <w:rsid w:val="00CD7807"/>
    <w:rsid w:val="00CE0A55"/>
    <w:rsid w:val="00CE26C4"/>
    <w:rsid w:val="00CE6FCC"/>
    <w:rsid w:val="00CE7488"/>
    <w:rsid w:val="00CE7E65"/>
    <w:rsid w:val="00CF015A"/>
    <w:rsid w:val="00CF1DEA"/>
    <w:rsid w:val="00CF52A8"/>
    <w:rsid w:val="00CF7C88"/>
    <w:rsid w:val="00D03967"/>
    <w:rsid w:val="00D0791A"/>
    <w:rsid w:val="00D10E5B"/>
    <w:rsid w:val="00D152E5"/>
    <w:rsid w:val="00D162C9"/>
    <w:rsid w:val="00D168CC"/>
    <w:rsid w:val="00D173AF"/>
    <w:rsid w:val="00D20421"/>
    <w:rsid w:val="00D21418"/>
    <w:rsid w:val="00D324AE"/>
    <w:rsid w:val="00D340C3"/>
    <w:rsid w:val="00D36C19"/>
    <w:rsid w:val="00D416B0"/>
    <w:rsid w:val="00D4773E"/>
    <w:rsid w:val="00D5056F"/>
    <w:rsid w:val="00D51D2F"/>
    <w:rsid w:val="00D60AC9"/>
    <w:rsid w:val="00D65FA7"/>
    <w:rsid w:val="00D740A0"/>
    <w:rsid w:val="00D74954"/>
    <w:rsid w:val="00D75CD2"/>
    <w:rsid w:val="00D80101"/>
    <w:rsid w:val="00D813C1"/>
    <w:rsid w:val="00D82549"/>
    <w:rsid w:val="00D86B4A"/>
    <w:rsid w:val="00DA2926"/>
    <w:rsid w:val="00DB2703"/>
    <w:rsid w:val="00DB2D00"/>
    <w:rsid w:val="00DB36FD"/>
    <w:rsid w:val="00DB41F7"/>
    <w:rsid w:val="00DB6084"/>
    <w:rsid w:val="00DB7750"/>
    <w:rsid w:val="00DC22A9"/>
    <w:rsid w:val="00DC601D"/>
    <w:rsid w:val="00DD09B6"/>
    <w:rsid w:val="00DD6D93"/>
    <w:rsid w:val="00DE08F0"/>
    <w:rsid w:val="00DE61B3"/>
    <w:rsid w:val="00DE7B86"/>
    <w:rsid w:val="00DF4765"/>
    <w:rsid w:val="00E00417"/>
    <w:rsid w:val="00E01E81"/>
    <w:rsid w:val="00E130A9"/>
    <w:rsid w:val="00E1550E"/>
    <w:rsid w:val="00E20662"/>
    <w:rsid w:val="00E2422A"/>
    <w:rsid w:val="00E24A5F"/>
    <w:rsid w:val="00E26977"/>
    <w:rsid w:val="00E327D4"/>
    <w:rsid w:val="00E34285"/>
    <w:rsid w:val="00E3428E"/>
    <w:rsid w:val="00E35223"/>
    <w:rsid w:val="00E35655"/>
    <w:rsid w:val="00E36B3A"/>
    <w:rsid w:val="00E4389F"/>
    <w:rsid w:val="00E43A50"/>
    <w:rsid w:val="00E43C39"/>
    <w:rsid w:val="00E56F2E"/>
    <w:rsid w:val="00E61777"/>
    <w:rsid w:val="00E64651"/>
    <w:rsid w:val="00E720ED"/>
    <w:rsid w:val="00E73D10"/>
    <w:rsid w:val="00E74669"/>
    <w:rsid w:val="00E773C8"/>
    <w:rsid w:val="00E92E80"/>
    <w:rsid w:val="00E9361C"/>
    <w:rsid w:val="00E950D4"/>
    <w:rsid w:val="00EA1AC5"/>
    <w:rsid w:val="00EB7E14"/>
    <w:rsid w:val="00EC0362"/>
    <w:rsid w:val="00EC1707"/>
    <w:rsid w:val="00EC41F2"/>
    <w:rsid w:val="00ED1A7A"/>
    <w:rsid w:val="00ED2874"/>
    <w:rsid w:val="00ED4D13"/>
    <w:rsid w:val="00EE709B"/>
    <w:rsid w:val="00EF1DCB"/>
    <w:rsid w:val="00EF5C48"/>
    <w:rsid w:val="00F03048"/>
    <w:rsid w:val="00F045BA"/>
    <w:rsid w:val="00F07C9A"/>
    <w:rsid w:val="00F07F50"/>
    <w:rsid w:val="00F138B2"/>
    <w:rsid w:val="00F142A0"/>
    <w:rsid w:val="00F20EA9"/>
    <w:rsid w:val="00F2118F"/>
    <w:rsid w:val="00F2664D"/>
    <w:rsid w:val="00F2673E"/>
    <w:rsid w:val="00F27E68"/>
    <w:rsid w:val="00F33A7F"/>
    <w:rsid w:val="00F346E2"/>
    <w:rsid w:val="00F34A4D"/>
    <w:rsid w:val="00F353A7"/>
    <w:rsid w:val="00F45379"/>
    <w:rsid w:val="00F5042D"/>
    <w:rsid w:val="00F505FE"/>
    <w:rsid w:val="00F54FDA"/>
    <w:rsid w:val="00F55819"/>
    <w:rsid w:val="00F611DF"/>
    <w:rsid w:val="00F63BDD"/>
    <w:rsid w:val="00F64503"/>
    <w:rsid w:val="00F66DE3"/>
    <w:rsid w:val="00F735E9"/>
    <w:rsid w:val="00F74579"/>
    <w:rsid w:val="00F75CA3"/>
    <w:rsid w:val="00F77EAD"/>
    <w:rsid w:val="00F8236A"/>
    <w:rsid w:val="00F85224"/>
    <w:rsid w:val="00F8755F"/>
    <w:rsid w:val="00F90435"/>
    <w:rsid w:val="00FA2866"/>
    <w:rsid w:val="00FA33A1"/>
    <w:rsid w:val="00FB0030"/>
    <w:rsid w:val="00FB0C3C"/>
    <w:rsid w:val="00FB5DC3"/>
    <w:rsid w:val="00FC0A58"/>
    <w:rsid w:val="00FC1990"/>
    <w:rsid w:val="00FC271E"/>
    <w:rsid w:val="00FC73DB"/>
    <w:rsid w:val="00FD5450"/>
    <w:rsid w:val="00FE5A6A"/>
    <w:rsid w:val="00FE726F"/>
    <w:rsid w:val="00FF0C77"/>
    <w:rsid w:val="00FF164C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2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268"/>
    <w:pPr>
      <w:tabs>
        <w:tab w:val="center" w:pos="4320"/>
        <w:tab w:val="right" w:pos="8640"/>
      </w:tabs>
    </w:pPr>
  </w:style>
  <w:style w:type="character" w:styleId="Hyperlink">
    <w:name w:val="Hyperlink"/>
    <w:rsid w:val="001A6473"/>
    <w:rPr>
      <w:color w:val="0000FF"/>
      <w:u w:val="single"/>
    </w:rPr>
  </w:style>
  <w:style w:type="character" w:styleId="FollowedHyperlink">
    <w:name w:val="FollowedHyperlink"/>
    <w:rsid w:val="009112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028D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4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E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E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E7F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12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3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5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375333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32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2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268"/>
    <w:pPr>
      <w:tabs>
        <w:tab w:val="center" w:pos="4320"/>
        <w:tab w:val="right" w:pos="8640"/>
      </w:tabs>
    </w:pPr>
  </w:style>
  <w:style w:type="character" w:styleId="Hyperlink">
    <w:name w:val="Hyperlink"/>
    <w:rsid w:val="001A6473"/>
    <w:rPr>
      <w:color w:val="0000FF"/>
      <w:u w:val="single"/>
    </w:rPr>
  </w:style>
  <w:style w:type="character" w:styleId="FollowedHyperlink">
    <w:name w:val="FollowedHyperlink"/>
    <w:rsid w:val="009112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028D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4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E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E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E7F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12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3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5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375333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32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cs@arb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AA6A-B567-43C5-B48E-6DAAD10B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813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 Committee Paper</vt:lpstr>
    </vt:vector>
  </TitlesOfParts>
  <Company>ARB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 Committee Paper</dc:title>
  <dc:creator>Vicky Aitchison</dc:creator>
  <cp:lastModifiedBy>Jodie James</cp:lastModifiedBy>
  <cp:revision>13</cp:revision>
  <cp:lastPrinted>2018-12-10T11:09:00Z</cp:lastPrinted>
  <dcterms:created xsi:type="dcterms:W3CDTF">2020-09-15T19:30:00Z</dcterms:created>
  <dcterms:modified xsi:type="dcterms:W3CDTF">2020-09-25T13:52:00Z</dcterms:modified>
</cp:coreProperties>
</file>