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ook w:val="01E0" w:firstRow="1" w:lastRow="1" w:firstColumn="1" w:lastColumn="1" w:noHBand="0" w:noVBand="0"/>
      </w:tblPr>
      <w:tblGrid>
        <w:gridCol w:w="5766"/>
        <w:gridCol w:w="2499"/>
        <w:gridCol w:w="1800"/>
      </w:tblGrid>
      <w:tr w:rsidR="00971B6E" w:rsidRPr="00F33A7F" w14:paraId="4C80EB05" w14:textId="77777777" w:rsidTr="000931CF">
        <w:tc>
          <w:tcPr>
            <w:tcW w:w="5766" w:type="dxa"/>
            <w:vMerge w:val="restart"/>
            <w:shd w:val="clear" w:color="auto" w:fill="auto"/>
          </w:tcPr>
          <w:p w14:paraId="5FB208A2" w14:textId="77777777" w:rsidR="00971B6E" w:rsidRPr="00F33A7F" w:rsidRDefault="00971B6E">
            <w:pPr>
              <w:rPr>
                <w:rFonts w:ascii="Helvetica 65 Medium" w:hAnsi="Helvetica 65 Medium"/>
                <w:sz w:val="24"/>
                <w:szCs w:val="24"/>
              </w:rPr>
            </w:pPr>
            <w:bookmarkStart w:id="0" w:name="_top"/>
            <w:bookmarkEnd w:id="0"/>
          </w:p>
          <w:p w14:paraId="4C021042" w14:textId="77777777" w:rsidR="00971B6E" w:rsidRPr="00F33A7F" w:rsidRDefault="00971B6E">
            <w:pPr>
              <w:rPr>
                <w:rFonts w:ascii="Helvetica 65 Medium" w:hAnsi="Helvetica 65 Medium"/>
                <w:sz w:val="24"/>
                <w:szCs w:val="24"/>
              </w:rPr>
            </w:pPr>
            <w:r>
              <w:rPr>
                <w:rFonts w:ascii="Helvetica 65 Medium" w:hAnsi="Helvetica 65 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65D774" wp14:editId="4D074931">
                  <wp:extent cx="809625" cy="419100"/>
                  <wp:effectExtent l="0" t="0" r="9525" b="0"/>
                  <wp:docPr id="1" name="Picture 1" descr="logo-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692EA" w14:textId="77777777" w:rsidR="00971B6E" w:rsidRPr="00F33A7F" w:rsidRDefault="00971B6E">
            <w:pPr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2C00538A" w14:textId="2DFA3F2C" w:rsidR="00971B6E" w:rsidRPr="00F33A7F" w:rsidRDefault="00971B6E" w:rsidP="00E71B6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M</w:t>
            </w:r>
            <w:r w:rsidRPr="00F33A7F">
              <w:rPr>
                <w:rFonts w:ascii="Calibri" w:hAnsi="Calibri" w:cs="Calibri"/>
                <w:b/>
                <w:sz w:val="24"/>
                <w:szCs w:val="24"/>
              </w:rPr>
              <w:t>eeting</w:t>
            </w:r>
            <w:r w:rsidR="000931CF">
              <w:rPr>
                <w:rFonts w:ascii="Calibri" w:hAnsi="Calibri" w:cs="Calibri"/>
                <w:b/>
                <w:sz w:val="24"/>
                <w:szCs w:val="24"/>
              </w:rPr>
              <w:t xml:space="preserve"> Date</w:t>
            </w:r>
          </w:p>
        </w:tc>
        <w:tc>
          <w:tcPr>
            <w:tcW w:w="1800" w:type="dxa"/>
            <w:shd w:val="clear" w:color="auto" w:fill="auto"/>
          </w:tcPr>
          <w:p w14:paraId="2349424B" w14:textId="35BABBE1" w:rsidR="00971B6E" w:rsidRPr="00F33A7F" w:rsidRDefault="00A22D67" w:rsidP="00524D1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 July</w:t>
            </w:r>
            <w:r w:rsidR="000931CF">
              <w:rPr>
                <w:rFonts w:ascii="Calibri" w:hAnsi="Calibri" w:cs="Calibri"/>
                <w:b/>
                <w:sz w:val="24"/>
                <w:szCs w:val="24"/>
              </w:rPr>
              <w:t xml:space="preserve"> 2021</w:t>
            </w:r>
          </w:p>
        </w:tc>
      </w:tr>
      <w:tr w:rsidR="00971B6E" w:rsidRPr="00F33A7F" w14:paraId="1A27BC36" w14:textId="77777777" w:rsidTr="000931CF">
        <w:tc>
          <w:tcPr>
            <w:tcW w:w="5766" w:type="dxa"/>
            <w:vMerge/>
            <w:shd w:val="clear" w:color="auto" w:fill="auto"/>
          </w:tcPr>
          <w:p w14:paraId="08C50C5E" w14:textId="77777777" w:rsidR="00971B6E" w:rsidRPr="00F33A7F" w:rsidRDefault="00971B6E">
            <w:pPr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0A7814B2" w14:textId="77777777" w:rsidR="00971B6E" w:rsidRPr="00F33A7F" w:rsidRDefault="00971B6E" w:rsidP="00F33A7F">
            <w:pPr>
              <w:spacing w:before="4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Agenda I</w:t>
            </w:r>
            <w:r w:rsidRPr="00F33A7F">
              <w:rPr>
                <w:rFonts w:ascii="Calibri" w:hAnsi="Calibri" w:cs="Calibri"/>
                <w:b/>
                <w:sz w:val="24"/>
                <w:szCs w:val="24"/>
              </w:rPr>
              <w:t>tem</w:t>
            </w:r>
          </w:p>
        </w:tc>
        <w:tc>
          <w:tcPr>
            <w:tcW w:w="1800" w:type="dxa"/>
            <w:shd w:val="clear" w:color="auto" w:fill="auto"/>
          </w:tcPr>
          <w:p w14:paraId="3BBE9A06" w14:textId="43846AD9" w:rsidR="00971B6E" w:rsidRPr="00F33A7F" w:rsidRDefault="000931CF" w:rsidP="00F33A7F">
            <w:pPr>
              <w:spacing w:before="4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</w:tr>
    </w:tbl>
    <w:p w14:paraId="016C29E7" w14:textId="77777777" w:rsidR="00833E88" w:rsidRPr="0001471C" w:rsidRDefault="00833E88">
      <w:pPr>
        <w:rPr>
          <w:rFonts w:ascii="Helvetica 65 Medium" w:hAnsi="Helvetica 65 Medium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895"/>
        <w:gridCol w:w="6852"/>
      </w:tblGrid>
      <w:tr w:rsidR="0035419F" w:rsidRPr="00F33A7F" w14:paraId="33EF1D77" w14:textId="77777777" w:rsidTr="00922807">
        <w:tc>
          <w:tcPr>
            <w:tcW w:w="2895" w:type="dxa"/>
            <w:shd w:val="clear" w:color="auto" w:fill="auto"/>
          </w:tcPr>
          <w:p w14:paraId="2D9044EE" w14:textId="77777777" w:rsidR="0035419F" w:rsidRPr="00F33A7F" w:rsidRDefault="0035419F" w:rsidP="000C30B6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 w:rsidRPr="00F33A7F">
              <w:rPr>
                <w:rFonts w:ascii="Calibri" w:hAnsi="Calibri" w:cs="Calibri"/>
                <w:b/>
                <w:sz w:val="24"/>
                <w:szCs w:val="24"/>
              </w:rPr>
              <w:t>Subject</w:t>
            </w:r>
          </w:p>
        </w:tc>
        <w:tc>
          <w:tcPr>
            <w:tcW w:w="6852" w:type="dxa"/>
            <w:shd w:val="clear" w:color="auto" w:fill="auto"/>
          </w:tcPr>
          <w:p w14:paraId="12B13947" w14:textId="59877D1C" w:rsidR="0035419F" w:rsidRPr="000273C9" w:rsidRDefault="00C3685A" w:rsidP="00587532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Non-staff performance review process</w:t>
            </w:r>
          </w:p>
        </w:tc>
      </w:tr>
      <w:tr w:rsidR="00830840" w:rsidRPr="00F33A7F" w14:paraId="29374799" w14:textId="77777777" w:rsidTr="00922807">
        <w:tc>
          <w:tcPr>
            <w:tcW w:w="2895" w:type="dxa"/>
            <w:shd w:val="clear" w:color="auto" w:fill="auto"/>
          </w:tcPr>
          <w:p w14:paraId="774A370E" w14:textId="77777777" w:rsidR="00830840" w:rsidRPr="00F33A7F" w:rsidRDefault="00830840" w:rsidP="000C30B6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 w:rsidRPr="00F33A7F">
              <w:rPr>
                <w:rFonts w:ascii="Calibri" w:hAnsi="Calibri" w:cs="Calibri"/>
                <w:b/>
                <w:sz w:val="24"/>
                <w:szCs w:val="24"/>
              </w:rPr>
              <w:t>Purpose</w:t>
            </w:r>
          </w:p>
        </w:tc>
        <w:tc>
          <w:tcPr>
            <w:tcW w:w="6852" w:type="dxa"/>
            <w:shd w:val="clear" w:color="auto" w:fill="auto"/>
          </w:tcPr>
          <w:p w14:paraId="752F0DF4" w14:textId="77777777" w:rsidR="00830840" w:rsidRPr="000273C9" w:rsidRDefault="00830840" w:rsidP="00830840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 w:rsidRPr="000273C9">
              <w:rPr>
                <w:rFonts w:ascii="Calibri" w:hAnsi="Calibri" w:cs="Calibri"/>
                <w:b/>
                <w:sz w:val="24"/>
                <w:szCs w:val="24"/>
              </w:rPr>
              <w:t xml:space="preserve">For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Decision</w:t>
            </w:r>
          </w:p>
        </w:tc>
      </w:tr>
      <w:tr w:rsidR="00830840" w:rsidRPr="00F33A7F" w14:paraId="5E4F70A0" w14:textId="77777777" w:rsidTr="00922807">
        <w:tc>
          <w:tcPr>
            <w:tcW w:w="2895" w:type="dxa"/>
            <w:shd w:val="clear" w:color="auto" w:fill="auto"/>
          </w:tcPr>
          <w:p w14:paraId="48C27918" w14:textId="77777777" w:rsidR="00830840" w:rsidRPr="00F33A7F" w:rsidRDefault="00830840" w:rsidP="000C30B6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 w:rsidRPr="00F33A7F">
              <w:rPr>
                <w:rFonts w:ascii="Calibri" w:hAnsi="Calibri" w:cs="Calibri"/>
                <w:b/>
                <w:sz w:val="24"/>
                <w:szCs w:val="24"/>
              </w:rPr>
              <w:t>From</w:t>
            </w:r>
          </w:p>
        </w:tc>
        <w:tc>
          <w:tcPr>
            <w:tcW w:w="6852" w:type="dxa"/>
            <w:shd w:val="clear" w:color="auto" w:fill="auto"/>
          </w:tcPr>
          <w:p w14:paraId="67AC769E" w14:textId="6571DAAF" w:rsidR="00830840" w:rsidRPr="000273C9" w:rsidRDefault="000931CF" w:rsidP="00AA75AE">
            <w:p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Director of Finance and Resources</w:t>
            </w:r>
          </w:p>
        </w:tc>
      </w:tr>
      <w:tr w:rsidR="00BC3C62" w:rsidRPr="00F33A7F" w14:paraId="333AF226" w14:textId="77777777" w:rsidTr="00922807">
        <w:trPr>
          <w:trHeight w:val="546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FA275A" w14:textId="4A4FE1A3" w:rsidR="00BC3C62" w:rsidRDefault="00CB725B" w:rsidP="00121F48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If you have any enquiries on this paper, please contact </w:t>
            </w:r>
            <w:r w:rsidR="00CB0F10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M</w:t>
            </w:r>
            <w:r w:rsidR="000931CF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arc Stoner</w:t>
            </w: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at </w:t>
            </w:r>
            <w:hyperlink r:id="rId9" w:history="1">
              <w:r w:rsidR="000931CF" w:rsidRPr="007B283F">
                <w:rPr>
                  <w:rStyle w:val="Hyperlink"/>
                  <w:rFonts w:ascii="Calibri" w:hAnsi="Calibri" w:cs="Calibri"/>
                  <w:b/>
                  <w:sz w:val="24"/>
                  <w:szCs w:val="24"/>
                </w:rPr>
                <w:t>marcs@arb.org.uk</w:t>
              </w:r>
            </w:hyperlink>
          </w:p>
          <w:p w14:paraId="28A0932D" w14:textId="1813ADAB" w:rsidR="000931CF" w:rsidRPr="00F63BDD" w:rsidRDefault="000931CF" w:rsidP="00121F48">
            <w:pPr>
              <w:spacing w:before="40" w:after="40"/>
              <w:rPr>
                <w:rFonts w:ascii="Calibri" w:hAnsi="Calibri" w:cs="Calibri"/>
                <w:b/>
                <w:color w:val="4F81BD"/>
                <w:sz w:val="22"/>
                <w:szCs w:val="22"/>
              </w:rPr>
            </w:pPr>
          </w:p>
        </w:tc>
      </w:tr>
    </w:tbl>
    <w:p w14:paraId="77687C9C" w14:textId="77777777" w:rsidR="005D356A" w:rsidRPr="0001471C" w:rsidRDefault="005D356A" w:rsidP="00B00031">
      <w:pPr>
        <w:ind w:left="567" w:hanging="567"/>
        <w:rPr>
          <w:rFonts w:ascii="Helvetica 65 Medium" w:hAnsi="Helvetica 65 Medium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5"/>
        <w:gridCol w:w="16"/>
        <w:gridCol w:w="855"/>
        <w:gridCol w:w="8182"/>
      </w:tblGrid>
      <w:tr w:rsidR="00F353A7" w:rsidRPr="00F33A7F" w14:paraId="2CDB72A1" w14:textId="77777777" w:rsidTr="000931CF">
        <w:tc>
          <w:tcPr>
            <w:tcW w:w="585" w:type="dxa"/>
            <w:vMerge w:val="restart"/>
            <w:shd w:val="clear" w:color="auto" w:fill="auto"/>
          </w:tcPr>
          <w:p w14:paraId="7E816095" w14:textId="77777777" w:rsidR="00F353A7" w:rsidRPr="00F63BDD" w:rsidRDefault="00F353A7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1. </w:t>
            </w:r>
          </w:p>
        </w:tc>
        <w:tc>
          <w:tcPr>
            <w:tcW w:w="9053" w:type="dxa"/>
            <w:gridSpan w:val="3"/>
            <w:shd w:val="clear" w:color="auto" w:fill="auto"/>
          </w:tcPr>
          <w:p w14:paraId="44633455" w14:textId="77777777" w:rsidR="00F353A7" w:rsidRPr="00F63BDD" w:rsidRDefault="00301DF7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Summary</w:t>
            </w:r>
          </w:p>
        </w:tc>
      </w:tr>
      <w:tr w:rsidR="00F353A7" w:rsidRPr="00F33A7F" w14:paraId="0FCC8B60" w14:textId="77777777" w:rsidTr="000931CF">
        <w:tc>
          <w:tcPr>
            <w:tcW w:w="585" w:type="dxa"/>
            <w:vMerge/>
            <w:shd w:val="clear" w:color="auto" w:fill="auto"/>
          </w:tcPr>
          <w:p w14:paraId="79C9447B" w14:textId="77777777" w:rsidR="00F353A7" w:rsidRPr="00F33A7F" w:rsidRDefault="00F353A7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3AD9275A" w14:textId="00361134" w:rsidR="00121F48" w:rsidRDefault="00121F48" w:rsidP="00121F48">
            <w:pPr>
              <w:spacing w:line="280" w:lineRule="exact"/>
              <w:contextualSpacing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71966998" w14:textId="117A02ED" w:rsidR="000931CF" w:rsidRDefault="000931CF" w:rsidP="00121F48">
            <w:pPr>
              <w:spacing w:line="280" w:lineRule="exact"/>
              <w:contextualSpacing/>
              <w:rPr>
                <w:rFonts w:ascii="Calibri" w:eastAsia="Times" w:hAnsi="Calibri" w:cs="Calibri"/>
                <w:sz w:val="24"/>
                <w:szCs w:val="24"/>
              </w:rPr>
            </w:pPr>
            <w:r>
              <w:rPr>
                <w:rFonts w:ascii="Calibri" w:eastAsia="Times" w:hAnsi="Calibri" w:cs="Calibri"/>
                <w:sz w:val="24"/>
                <w:szCs w:val="24"/>
              </w:rPr>
              <w:t>To agree to the process of providing feedback to the Board in relation to the Chair and Board member</w:t>
            </w:r>
            <w:r w:rsidR="00F7549D">
              <w:rPr>
                <w:rFonts w:ascii="Calibri" w:eastAsia="Times" w:hAnsi="Calibri" w:cs="Calibri"/>
                <w:sz w:val="24"/>
                <w:szCs w:val="24"/>
              </w:rPr>
              <w:t>s</w:t>
            </w:r>
            <w:r w:rsidR="009946E1">
              <w:rPr>
                <w:rFonts w:ascii="Calibri" w:eastAsia="Times" w:hAnsi="Calibri" w:cs="Calibri"/>
                <w:sz w:val="24"/>
                <w:szCs w:val="24"/>
              </w:rPr>
              <w:t xml:space="preserve">’ </w:t>
            </w:r>
            <w:r w:rsidR="00CB0F10">
              <w:rPr>
                <w:rFonts w:ascii="Calibri" w:eastAsia="Times" w:hAnsi="Calibri" w:cs="Calibri"/>
                <w:sz w:val="24"/>
                <w:szCs w:val="24"/>
              </w:rPr>
              <w:t xml:space="preserve">performance </w:t>
            </w:r>
            <w:r w:rsidR="00F7549D">
              <w:rPr>
                <w:rFonts w:ascii="Calibri" w:eastAsia="Times" w:hAnsi="Calibri" w:cs="Calibri"/>
                <w:sz w:val="24"/>
                <w:szCs w:val="24"/>
              </w:rPr>
              <w:t xml:space="preserve">reviews </w:t>
            </w:r>
            <w:r w:rsidR="00FA62E3">
              <w:rPr>
                <w:rFonts w:ascii="Calibri" w:eastAsia="Times" w:hAnsi="Calibri" w:cs="Calibri"/>
                <w:sz w:val="24"/>
                <w:szCs w:val="24"/>
              </w:rPr>
              <w:t xml:space="preserve">and selection of an independent </w:t>
            </w:r>
            <w:r w:rsidR="00CB0F10">
              <w:rPr>
                <w:rFonts w:ascii="Calibri" w:eastAsia="Times" w:hAnsi="Calibri" w:cs="Calibri"/>
                <w:sz w:val="24"/>
                <w:szCs w:val="24"/>
              </w:rPr>
              <w:t xml:space="preserve">individual </w:t>
            </w:r>
            <w:r w:rsidR="00FA62E3">
              <w:rPr>
                <w:rFonts w:ascii="Calibri" w:eastAsia="Times" w:hAnsi="Calibri" w:cs="Calibri"/>
                <w:sz w:val="24"/>
                <w:szCs w:val="24"/>
              </w:rPr>
              <w:t>to carry out the Chair</w:t>
            </w:r>
            <w:r w:rsidR="00F7549D">
              <w:rPr>
                <w:rFonts w:ascii="Calibri" w:eastAsia="Times" w:hAnsi="Calibri" w:cs="Calibri"/>
                <w:sz w:val="24"/>
                <w:szCs w:val="24"/>
              </w:rPr>
              <w:t>’</w:t>
            </w:r>
            <w:r w:rsidR="00FA62E3">
              <w:rPr>
                <w:rFonts w:ascii="Calibri" w:eastAsia="Times" w:hAnsi="Calibri" w:cs="Calibri"/>
                <w:sz w:val="24"/>
                <w:szCs w:val="24"/>
              </w:rPr>
              <w:t xml:space="preserve">s </w:t>
            </w:r>
            <w:r w:rsidR="001B6AF8">
              <w:rPr>
                <w:rFonts w:ascii="Calibri" w:eastAsia="Times" w:hAnsi="Calibri" w:cs="Calibri"/>
                <w:sz w:val="24"/>
                <w:szCs w:val="24"/>
              </w:rPr>
              <w:t>performance</w:t>
            </w:r>
            <w:r w:rsidR="00F7549D">
              <w:rPr>
                <w:rFonts w:ascii="Calibri" w:eastAsia="Times" w:hAnsi="Calibri" w:cs="Calibri"/>
                <w:sz w:val="24"/>
                <w:szCs w:val="24"/>
              </w:rPr>
              <w:t xml:space="preserve"> review.</w:t>
            </w:r>
          </w:p>
          <w:p w14:paraId="584F3C76" w14:textId="77777777" w:rsidR="00A22D67" w:rsidRDefault="00A22D67" w:rsidP="00121F48">
            <w:pPr>
              <w:spacing w:line="280" w:lineRule="exact"/>
              <w:contextualSpacing/>
              <w:rPr>
                <w:rFonts w:ascii="Calibri" w:eastAsia="Times" w:hAnsi="Calibri" w:cs="Calibri"/>
                <w:sz w:val="24"/>
                <w:szCs w:val="24"/>
              </w:rPr>
            </w:pPr>
          </w:p>
          <w:p w14:paraId="39551327" w14:textId="10CEF420" w:rsidR="00A22D67" w:rsidRPr="00121F48" w:rsidRDefault="00A22D67" w:rsidP="00121F48">
            <w:pPr>
              <w:spacing w:line="280" w:lineRule="exact"/>
              <w:contextualSpacing/>
              <w:rPr>
                <w:rFonts w:ascii="Calibri" w:eastAsia="Times" w:hAnsi="Calibri" w:cs="Calibri"/>
                <w:sz w:val="24"/>
                <w:szCs w:val="24"/>
              </w:rPr>
            </w:pPr>
            <w:r>
              <w:rPr>
                <w:rFonts w:ascii="Calibri" w:eastAsia="Times" w:hAnsi="Calibri" w:cs="Calibri"/>
                <w:sz w:val="24"/>
                <w:szCs w:val="24"/>
              </w:rPr>
              <w:t>This paper was presented to the Remuneration and Appointments Committee (</w:t>
            </w:r>
            <w:proofErr w:type="spellStart"/>
            <w:r>
              <w:rPr>
                <w:rFonts w:ascii="Calibri" w:eastAsia="Times" w:hAnsi="Calibri" w:cs="Calibri"/>
                <w:sz w:val="24"/>
                <w:szCs w:val="24"/>
              </w:rPr>
              <w:t>RaAC</w:t>
            </w:r>
            <w:proofErr w:type="spellEnd"/>
            <w:r>
              <w:rPr>
                <w:rFonts w:ascii="Calibri" w:eastAsia="Times" w:hAnsi="Calibri" w:cs="Calibri"/>
                <w:sz w:val="24"/>
                <w:szCs w:val="24"/>
              </w:rPr>
              <w:t xml:space="preserve">) at their meeting on 8 June 2021 and the changes were fully supported.  Minutes of the </w:t>
            </w:r>
            <w:proofErr w:type="spellStart"/>
            <w:r>
              <w:rPr>
                <w:rFonts w:ascii="Calibri" w:eastAsia="Times" w:hAnsi="Calibri" w:cs="Calibri"/>
                <w:sz w:val="24"/>
                <w:szCs w:val="24"/>
              </w:rPr>
              <w:t>RaAC</w:t>
            </w:r>
            <w:proofErr w:type="spellEnd"/>
            <w:r>
              <w:rPr>
                <w:rFonts w:ascii="Calibri" w:eastAsia="Times" w:hAnsi="Calibri" w:cs="Calibri"/>
                <w:sz w:val="24"/>
                <w:szCs w:val="24"/>
              </w:rPr>
              <w:t xml:space="preserve"> can be found </w:t>
            </w:r>
            <w:r w:rsidR="00CB0F10">
              <w:rPr>
                <w:rFonts w:ascii="Calibri" w:eastAsia="Times" w:hAnsi="Calibri" w:cs="Calibri"/>
                <w:sz w:val="24"/>
                <w:szCs w:val="24"/>
              </w:rPr>
              <w:t xml:space="preserve">under </w:t>
            </w:r>
            <w:r>
              <w:rPr>
                <w:rFonts w:ascii="Calibri" w:eastAsia="Times" w:hAnsi="Calibri" w:cs="Calibri"/>
                <w:sz w:val="24"/>
                <w:szCs w:val="24"/>
              </w:rPr>
              <w:t>agenda item 10 of this meeting.</w:t>
            </w:r>
          </w:p>
        </w:tc>
      </w:tr>
      <w:tr w:rsidR="00BC3C62" w:rsidRPr="00F33A7F" w14:paraId="591AC3BC" w14:textId="77777777" w:rsidTr="000931CF">
        <w:tc>
          <w:tcPr>
            <w:tcW w:w="585" w:type="dxa"/>
            <w:shd w:val="clear" w:color="auto" w:fill="auto"/>
          </w:tcPr>
          <w:p w14:paraId="350B8AF0" w14:textId="77777777" w:rsidR="00BC3C62" w:rsidRPr="00AD1E96" w:rsidRDefault="00BC3C62" w:rsidP="00F33A7F">
            <w:pPr>
              <w:spacing w:before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16DDE159" w14:textId="77777777" w:rsidR="00BC3C62" w:rsidRPr="00AD1E96" w:rsidRDefault="00BC3C62" w:rsidP="00F33A7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E5FDC" w:rsidRPr="00F33A7F" w14:paraId="0868FD55" w14:textId="77777777" w:rsidTr="000931CF">
        <w:tblPrEx>
          <w:shd w:val="clear" w:color="auto" w:fill="D9D9D9"/>
        </w:tblPrEx>
        <w:tc>
          <w:tcPr>
            <w:tcW w:w="585" w:type="dxa"/>
            <w:vMerge w:val="restart"/>
            <w:shd w:val="clear" w:color="auto" w:fill="D9D9D9"/>
          </w:tcPr>
          <w:p w14:paraId="72D3EA2C" w14:textId="77777777" w:rsidR="003E5FDC" w:rsidRPr="00F63BDD" w:rsidRDefault="003E5FDC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2. </w:t>
            </w:r>
          </w:p>
        </w:tc>
        <w:tc>
          <w:tcPr>
            <w:tcW w:w="9053" w:type="dxa"/>
            <w:gridSpan w:val="3"/>
            <w:shd w:val="clear" w:color="auto" w:fill="D9D9D9"/>
          </w:tcPr>
          <w:p w14:paraId="46CB82E2" w14:textId="77777777" w:rsidR="003E5FDC" w:rsidRPr="00F63BDD" w:rsidRDefault="003E5FDC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Recommendations</w:t>
            </w:r>
          </w:p>
        </w:tc>
      </w:tr>
      <w:tr w:rsidR="003E5FDC" w:rsidRPr="00F33A7F" w14:paraId="7579AB89" w14:textId="77777777" w:rsidTr="000931CF">
        <w:tblPrEx>
          <w:shd w:val="clear" w:color="auto" w:fill="D9D9D9"/>
        </w:tblPrEx>
        <w:tc>
          <w:tcPr>
            <w:tcW w:w="585" w:type="dxa"/>
            <w:vMerge/>
            <w:shd w:val="clear" w:color="auto" w:fill="D9D9D9"/>
          </w:tcPr>
          <w:p w14:paraId="3ECB6891" w14:textId="77777777" w:rsidR="003E5FDC" w:rsidRPr="00F33A7F" w:rsidRDefault="003E5FDC" w:rsidP="00F33A7F">
            <w:pPr>
              <w:spacing w:before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D9D9D9"/>
          </w:tcPr>
          <w:p w14:paraId="1C774F7B" w14:textId="6E7821AD" w:rsidR="0035419F" w:rsidRDefault="00A06672" w:rsidP="00524D11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It is recommended that the </w:t>
            </w:r>
            <w:r w:rsidR="00CB0F10">
              <w:rPr>
                <w:rFonts w:ascii="Calibri" w:hAnsi="Calibri" w:cs="Calibri"/>
                <w:sz w:val="24"/>
                <w:szCs w:val="24"/>
              </w:rPr>
              <w:t>Board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830DC21" w14:textId="11B0D094" w:rsidR="00A06672" w:rsidRPr="00A06672" w:rsidRDefault="000931CF" w:rsidP="00A06672">
            <w:pPr>
              <w:pStyle w:val="ListParagraph"/>
              <w:numPr>
                <w:ilvl w:val="0"/>
                <w:numId w:val="12"/>
              </w:num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Agree</w:t>
            </w:r>
            <w:r w:rsidR="00F7549D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B0F10">
              <w:rPr>
                <w:rFonts w:ascii="Calibri" w:hAnsi="Calibri" w:cs="Calibri"/>
                <w:sz w:val="24"/>
                <w:szCs w:val="24"/>
              </w:rPr>
              <w:t>the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changes to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>
              <w:rPr>
                <w:rFonts w:ascii="Calibri" w:hAnsi="Calibri" w:cs="Calibri"/>
                <w:sz w:val="24"/>
                <w:szCs w:val="24"/>
              </w:rPr>
              <w:t>process as outline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d </w:t>
            </w:r>
            <w:r>
              <w:rPr>
                <w:rFonts w:ascii="Calibri" w:hAnsi="Calibri" w:cs="Calibri"/>
                <w:sz w:val="24"/>
                <w:szCs w:val="24"/>
              </w:rPr>
              <w:t>in section</w:t>
            </w:r>
            <w:r w:rsidR="00CB0F10">
              <w:rPr>
                <w:rFonts w:ascii="Calibri" w:hAnsi="Calibri" w:cs="Calibri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5</w:t>
            </w:r>
            <w:r w:rsidR="00580881">
              <w:rPr>
                <w:rFonts w:ascii="Calibri" w:hAnsi="Calibri" w:cs="Calibri"/>
                <w:sz w:val="24"/>
                <w:szCs w:val="24"/>
              </w:rPr>
              <w:t xml:space="preserve"> (iv) and (vii)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below.</w:t>
            </w:r>
          </w:p>
        </w:tc>
      </w:tr>
      <w:tr w:rsidR="00BC3C62" w:rsidRPr="00F33A7F" w14:paraId="1009D13B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6A6E5" w14:textId="77777777" w:rsidR="00BC3C62" w:rsidRPr="00AD1E96" w:rsidRDefault="00BC3C62" w:rsidP="00F33A7F">
            <w:pPr>
              <w:spacing w:before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D9069" w14:textId="77777777" w:rsidR="00BC3C62" w:rsidRPr="00AD1E96" w:rsidRDefault="00BC3C62" w:rsidP="00C7435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7807" w:rsidRPr="00F33A7F" w14:paraId="2F2CD15B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C8A0A" w14:textId="77777777" w:rsidR="00CD7807" w:rsidRPr="00F63BDD" w:rsidRDefault="00394F2C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3.</w:t>
            </w:r>
            <w:r w:rsidR="00CD7807"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 </w:t>
            </w: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89804" w14:textId="097E42B4" w:rsidR="00CD7807" w:rsidRPr="00F63BDD" w:rsidRDefault="00A22D67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Open</w:t>
            </w:r>
            <w:r w:rsidR="00830840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 Session</w:t>
            </w:r>
          </w:p>
        </w:tc>
      </w:tr>
      <w:tr w:rsidR="00CD7807" w:rsidRPr="00F33A7F" w14:paraId="5465BCF6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86C4B" w14:textId="77777777" w:rsidR="00CD7807" w:rsidRPr="00F33A7F" w:rsidRDefault="00CD7807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F6A16" w14:textId="0D8FCA1A" w:rsidR="00F7549D" w:rsidRPr="00F33A7F" w:rsidRDefault="00F7549D" w:rsidP="00A22D67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6E1B" w:rsidRPr="00F33A7F" w14:paraId="4EC036B9" w14:textId="77777777" w:rsidTr="000931CF">
        <w:tc>
          <w:tcPr>
            <w:tcW w:w="585" w:type="dxa"/>
            <w:vMerge w:val="restart"/>
            <w:shd w:val="clear" w:color="auto" w:fill="auto"/>
          </w:tcPr>
          <w:p w14:paraId="1B7294DB" w14:textId="77777777" w:rsidR="00596E1B" w:rsidRPr="00F63BDD" w:rsidRDefault="00E35223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4</w:t>
            </w:r>
            <w:r w:rsidR="00596E1B"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. </w:t>
            </w:r>
          </w:p>
        </w:tc>
        <w:tc>
          <w:tcPr>
            <w:tcW w:w="9053" w:type="dxa"/>
            <w:gridSpan w:val="3"/>
            <w:shd w:val="clear" w:color="auto" w:fill="auto"/>
          </w:tcPr>
          <w:p w14:paraId="15C557A6" w14:textId="77777777" w:rsidR="00596E1B" w:rsidRPr="00F63BDD" w:rsidRDefault="00596E1B" w:rsidP="00C7435E">
            <w:pPr>
              <w:spacing w:before="40" w:after="40"/>
              <w:ind w:left="567" w:hanging="567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Contribution to the Board’s Purpose and Objectives</w:t>
            </w:r>
          </w:p>
        </w:tc>
      </w:tr>
      <w:tr w:rsidR="00830840" w:rsidRPr="00F33A7F" w14:paraId="50EB9B00" w14:textId="77777777" w:rsidTr="000931CF">
        <w:tc>
          <w:tcPr>
            <w:tcW w:w="585" w:type="dxa"/>
            <w:vMerge/>
            <w:shd w:val="clear" w:color="auto" w:fill="auto"/>
          </w:tcPr>
          <w:p w14:paraId="3F00329F" w14:textId="77777777" w:rsidR="00830840" w:rsidRPr="00F33A7F" w:rsidRDefault="00830840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05A2C852" w14:textId="77777777" w:rsidR="00830840" w:rsidRPr="00727A77" w:rsidRDefault="00CB725B" w:rsidP="003C0844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727A77">
              <w:rPr>
                <w:rFonts w:ascii="Calibri" w:hAnsi="Calibri" w:cs="Calibri"/>
                <w:sz w:val="24"/>
                <w:szCs w:val="24"/>
              </w:rPr>
              <w:t>In delivering the Act, ARB’s objectives are:</w:t>
            </w:r>
          </w:p>
        </w:tc>
      </w:tr>
      <w:tr w:rsidR="00830840" w:rsidRPr="00F33A7F" w14:paraId="2719AA27" w14:textId="77777777" w:rsidTr="000931CF">
        <w:tc>
          <w:tcPr>
            <w:tcW w:w="585" w:type="dxa"/>
            <w:vMerge/>
            <w:shd w:val="clear" w:color="auto" w:fill="auto"/>
          </w:tcPr>
          <w:p w14:paraId="79A62517" w14:textId="77777777" w:rsidR="00830840" w:rsidRPr="00F33A7F" w:rsidRDefault="00830840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268AC95D" w14:textId="77777777" w:rsidR="000931CF" w:rsidRPr="00164909" w:rsidRDefault="000931CF" w:rsidP="000931C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Protect</w:t>
            </w:r>
            <w:r w:rsidRPr="00164909">
              <w:rPr>
                <w:rFonts w:ascii="Calibri" w:hAnsi="Calibri" w:cs="Calibri"/>
                <w:sz w:val="24"/>
                <w:szCs w:val="24"/>
              </w:rPr>
              <w:t xml:space="preserve"> the users and potential users of architects’ </w:t>
            </w:r>
            <w:proofErr w:type="gramStart"/>
            <w:r w:rsidRPr="00164909">
              <w:rPr>
                <w:rFonts w:ascii="Calibri" w:hAnsi="Calibri" w:cs="Calibri"/>
                <w:sz w:val="24"/>
                <w:szCs w:val="24"/>
              </w:rPr>
              <w:t>services</w:t>
            </w:r>
            <w:proofErr w:type="gramEnd"/>
          </w:p>
          <w:p w14:paraId="355BABC9" w14:textId="77777777" w:rsidR="000931CF" w:rsidRDefault="000931CF" w:rsidP="000931C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164909">
              <w:rPr>
                <w:rFonts w:ascii="Calibri" w:hAnsi="Calibri" w:cs="Calibri"/>
                <w:sz w:val="24"/>
                <w:szCs w:val="24"/>
              </w:rPr>
              <w:t>Support architects through regulation</w:t>
            </w:r>
          </w:p>
          <w:p w14:paraId="75E9D83E" w14:textId="18D9FDF0" w:rsidR="003F1F7B" w:rsidRPr="00727A77" w:rsidRDefault="000931CF" w:rsidP="000931CF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  <w:r w:rsidRPr="0093117E">
              <w:rPr>
                <w:rFonts w:ascii="Calibri" w:hAnsi="Calibri" w:cs="Calibri"/>
                <w:sz w:val="24"/>
                <w:szCs w:val="24"/>
              </w:rPr>
              <w:t xml:space="preserve">The prudent financial management of ARB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enables the </w:t>
            </w:r>
            <w:r w:rsidRPr="0093117E">
              <w:rPr>
                <w:rFonts w:ascii="Calibri" w:hAnsi="Calibri" w:cs="Calibri"/>
                <w:sz w:val="24"/>
                <w:szCs w:val="24"/>
              </w:rPr>
              <w:t xml:space="preserve">delivery of all of ARB’s </w:t>
            </w:r>
            <w:r>
              <w:rPr>
                <w:rFonts w:ascii="Calibri" w:hAnsi="Calibri" w:cs="Calibri"/>
                <w:sz w:val="24"/>
                <w:szCs w:val="24"/>
              </w:rPr>
              <w:t>statutory requirements and objectives.</w:t>
            </w:r>
          </w:p>
        </w:tc>
      </w:tr>
      <w:tr w:rsidR="00830840" w:rsidRPr="00F33A7F" w14:paraId="259D009E" w14:textId="77777777" w:rsidTr="000931CF">
        <w:tc>
          <w:tcPr>
            <w:tcW w:w="585" w:type="dxa"/>
            <w:vMerge/>
            <w:shd w:val="clear" w:color="auto" w:fill="auto"/>
          </w:tcPr>
          <w:p w14:paraId="1EA155BD" w14:textId="77777777" w:rsidR="00830840" w:rsidRPr="00F33A7F" w:rsidRDefault="00830840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2E62F6A6" w14:textId="77777777" w:rsidR="00830840" w:rsidRPr="00727A77" w:rsidRDefault="00830840" w:rsidP="003C0844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588C7996" w14:textId="77777777" w:rsidTr="000931CF">
        <w:tc>
          <w:tcPr>
            <w:tcW w:w="585" w:type="dxa"/>
            <w:vMerge w:val="restart"/>
            <w:shd w:val="clear" w:color="auto" w:fill="auto"/>
          </w:tcPr>
          <w:p w14:paraId="7823BE09" w14:textId="77777777" w:rsidR="007305BF" w:rsidRPr="00F63BDD" w:rsidRDefault="007305BF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5</w:t>
            </w: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. </w:t>
            </w:r>
          </w:p>
        </w:tc>
        <w:tc>
          <w:tcPr>
            <w:tcW w:w="9053" w:type="dxa"/>
            <w:gridSpan w:val="3"/>
            <w:shd w:val="clear" w:color="auto" w:fill="auto"/>
          </w:tcPr>
          <w:p w14:paraId="5DA912A4" w14:textId="77777777" w:rsidR="007305BF" w:rsidRDefault="007305BF" w:rsidP="00A93F31">
            <w:pPr>
              <w:spacing w:before="40" w:after="40" w:line="240" w:lineRule="atLeast"/>
              <w:rPr>
                <w:rFonts w:ascii="Calibri" w:hAnsi="Calibri" w:cs="Calibri"/>
                <w:b/>
                <w:color w:val="4F81BD"/>
                <w:sz w:val="22"/>
                <w:szCs w:val="22"/>
              </w:rPr>
            </w:pPr>
            <w:r w:rsidRPr="00F4103E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Key Points</w:t>
            </w:r>
            <w:r w:rsidRPr="00F4103E">
              <w:rPr>
                <w:rFonts w:ascii="Calibri" w:hAnsi="Calibri" w:cs="Calibri"/>
                <w:b/>
                <w:color w:val="4F81BD"/>
                <w:sz w:val="22"/>
                <w:szCs w:val="22"/>
              </w:rPr>
              <w:t xml:space="preserve"> </w:t>
            </w:r>
          </w:p>
          <w:p w14:paraId="0B8DC35D" w14:textId="6EA2266D" w:rsidR="000931CF" w:rsidRPr="000931CF" w:rsidRDefault="000931CF" w:rsidP="00A93F31">
            <w:pPr>
              <w:spacing w:before="40" w:after="40" w:line="240" w:lineRule="atLeast"/>
              <w:rPr>
                <w:rFonts w:ascii="Calibri" w:hAnsi="Calibri" w:cs="Calibri"/>
                <w:b/>
                <w:color w:val="4F81BD"/>
                <w:sz w:val="22"/>
                <w:szCs w:val="22"/>
              </w:rPr>
            </w:pPr>
          </w:p>
        </w:tc>
      </w:tr>
      <w:tr w:rsidR="007305BF" w:rsidRPr="00F33A7F" w14:paraId="666D8213" w14:textId="77777777" w:rsidTr="000931CF">
        <w:tc>
          <w:tcPr>
            <w:tcW w:w="585" w:type="dxa"/>
            <w:vMerge/>
            <w:shd w:val="clear" w:color="auto" w:fill="auto"/>
          </w:tcPr>
          <w:p w14:paraId="20214F2E" w14:textId="77777777" w:rsidR="007305BF" w:rsidRPr="00F33A7F" w:rsidRDefault="007305BF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38E74977" w14:textId="77777777" w:rsidR="007305BF" w:rsidRPr="00F33A7F" w:rsidRDefault="007305BF" w:rsidP="00111B11">
            <w:pPr>
              <w:numPr>
                <w:ilvl w:val="0"/>
                <w:numId w:val="3"/>
              </w:numPr>
              <w:spacing w:before="40" w:after="4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323AA9F1" w14:textId="3C57CB44" w:rsidR="007305BF" w:rsidRDefault="00C3685A" w:rsidP="007305BF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3685A">
              <w:rPr>
                <w:rFonts w:ascii="Calibri" w:hAnsi="Calibri" w:cs="Calibri"/>
                <w:bCs/>
                <w:sz w:val="24"/>
                <w:szCs w:val="24"/>
              </w:rPr>
              <w:t>The Board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>’</w:t>
            </w:r>
            <w:r w:rsidRPr="00C3685A">
              <w:rPr>
                <w:rFonts w:ascii="Calibri" w:hAnsi="Calibri" w:cs="Calibri"/>
                <w:bCs/>
                <w:sz w:val="24"/>
                <w:szCs w:val="24"/>
              </w:rPr>
              <w:t xml:space="preserve">s policy on </w:t>
            </w:r>
            <w:r w:rsidR="00A8169C"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C3685A">
              <w:rPr>
                <w:rFonts w:ascii="Calibri" w:hAnsi="Calibri" w:cs="Calibri"/>
                <w:bCs/>
                <w:sz w:val="24"/>
                <w:szCs w:val="24"/>
              </w:rPr>
              <w:t>on-staff performance review process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was last reviewed in September 2020</w:t>
            </w:r>
            <w:r w:rsidR="00E656C8">
              <w:rPr>
                <w:rFonts w:ascii="Calibri" w:hAnsi="Calibri" w:cs="Calibri"/>
                <w:bCs/>
                <w:sz w:val="24"/>
                <w:szCs w:val="24"/>
              </w:rPr>
              <w:t xml:space="preserve"> (attached at </w:t>
            </w:r>
            <w:r w:rsidR="00E656C8" w:rsidRPr="00E656C8">
              <w:rPr>
                <w:rStyle w:val="Heading1Char"/>
                <w:rFonts w:asciiTheme="minorHAnsi" w:hAnsiTheme="minorHAnsi" w:cstheme="minorHAnsi"/>
                <w:b/>
                <w:bCs/>
                <w:sz w:val="24"/>
                <w:szCs w:val="24"/>
              </w:rPr>
              <w:t>Annex A</w:t>
            </w:r>
            <w:r w:rsidR="00E656C8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>.  This was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prior to the start of the 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 xml:space="preserve">2020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review of the Board 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 xml:space="preserve">members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and Chair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>’s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performance</w:t>
            </w:r>
            <w:r w:rsidR="00A8169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>where the</w:t>
            </w:r>
            <w:r w:rsidR="00A8169C">
              <w:rPr>
                <w:rFonts w:ascii="Calibri" w:hAnsi="Calibri" w:cs="Calibri"/>
                <w:bCs/>
                <w:sz w:val="24"/>
                <w:szCs w:val="24"/>
              </w:rPr>
              <w:t xml:space="preserve"> policy was amended to state that the Chair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>’</w:t>
            </w:r>
            <w:r w:rsidR="00A8169C">
              <w:rPr>
                <w:rFonts w:ascii="Calibri" w:hAnsi="Calibri" w:cs="Calibri"/>
                <w:bCs/>
                <w:sz w:val="24"/>
                <w:szCs w:val="24"/>
              </w:rPr>
              <w:t>s review must be independent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 w:rsidR="00A8169C">
              <w:rPr>
                <w:rFonts w:ascii="Calibri" w:hAnsi="Calibri" w:cs="Calibri"/>
                <w:bCs/>
                <w:sz w:val="24"/>
                <w:szCs w:val="24"/>
              </w:rPr>
              <w:t xml:space="preserve"> as outlined in their terms and conditions issued by MHCLG.</w:t>
            </w:r>
          </w:p>
          <w:p w14:paraId="1BFA2516" w14:textId="713FA8C6" w:rsidR="00E656C8" w:rsidRPr="00C3685A" w:rsidRDefault="00E656C8" w:rsidP="007305BF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305BF" w:rsidRPr="00F33A7F" w14:paraId="68931C61" w14:textId="77777777" w:rsidTr="000931CF">
        <w:tc>
          <w:tcPr>
            <w:tcW w:w="585" w:type="dxa"/>
            <w:vMerge/>
            <w:shd w:val="clear" w:color="auto" w:fill="auto"/>
          </w:tcPr>
          <w:p w14:paraId="1223FEE1" w14:textId="77777777" w:rsidR="007305BF" w:rsidRPr="00F33A7F" w:rsidRDefault="007305BF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09F5A767" w14:textId="77777777" w:rsidR="007305BF" w:rsidRPr="00F33A7F" w:rsidRDefault="007305BF" w:rsidP="00C7435E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16E1B450" w14:textId="603FFFBC" w:rsidR="007305BF" w:rsidRDefault="006F5E1B" w:rsidP="00A8169C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Following completion of the Board and Chair</w:t>
            </w:r>
            <w:r w:rsidR="005E2FF1">
              <w:rPr>
                <w:rFonts w:ascii="Calibri" w:hAnsi="Calibri" w:cs="Calibri"/>
                <w:sz w:val="24"/>
                <w:szCs w:val="24"/>
              </w:rPr>
              <w:t>’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 reviews, the process was evaluated, and it was identified that there was no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formal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process to provide an overview of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>
              <w:rPr>
                <w:rFonts w:ascii="Calibri" w:hAnsi="Calibri" w:cs="Calibri"/>
                <w:sz w:val="24"/>
                <w:szCs w:val="24"/>
              </w:rPr>
              <w:t>outcomes to the Board.</w:t>
            </w:r>
          </w:p>
          <w:p w14:paraId="3023CD98" w14:textId="0F965FB1" w:rsidR="00E656C8" w:rsidRPr="00F33A7F" w:rsidRDefault="00E656C8" w:rsidP="00A8169C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2EC2B262" w14:textId="77777777" w:rsidTr="000931CF">
        <w:tc>
          <w:tcPr>
            <w:tcW w:w="585" w:type="dxa"/>
            <w:shd w:val="clear" w:color="auto" w:fill="auto"/>
          </w:tcPr>
          <w:p w14:paraId="6EB49F1C" w14:textId="77777777" w:rsidR="007305BF" w:rsidRPr="00F33A7F" w:rsidRDefault="007305BF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2248E844" w14:textId="77777777" w:rsidR="007305BF" w:rsidRPr="00F33A7F" w:rsidRDefault="007305BF" w:rsidP="00C7435E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52C965DE" w14:textId="3E1CF848" w:rsidR="0055033C" w:rsidRDefault="006F5E1B" w:rsidP="007305B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Having conducted some desk top research</w:t>
            </w:r>
            <w:r w:rsidR="006E02FC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it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appears that </w:t>
            </w:r>
            <w:r w:rsidR="00B319A4">
              <w:rPr>
                <w:rFonts w:ascii="Calibri" w:hAnsi="Calibri" w:cs="Calibri"/>
                <w:sz w:val="24"/>
                <w:szCs w:val="24"/>
              </w:rPr>
              <w:t xml:space="preserve">policies vary considerably amongst similar statutory regulators although there </w:t>
            </w:r>
            <w:r w:rsidR="00FA62E3">
              <w:rPr>
                <w:rFonts w:ascii="Calibri" w:hAnsi="Calibri" w:cs="Calibri"/>
                <w:sz w:val="24"/>
                <w:szCs w:val="24"/>
              </w:rPr>
              <w:t>is evidence</w:t>
            </w:r>
            <w:r w:rsidR="00B319A4">
              <w:rPr>
                <w:rFonts w:ascii="Calibri" w:hAnsi="Calibri" w:cs="Calibri"/>
                <w:sz w:val="24"/>
                <w:szCs w:val="24"/>
              </w:rPr>
              <w:t xml:space="preserve"> that use of independent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reviewers </w:t>
            </w:r>
            <w:r w:rsidR="00B319A4">
              <w:rPr>
                <w:rFonts w:ascii="Calibri" w:hAnsi="Calibri" w:cs="Calibri"/>
                <w:sz w:val="24"/>
                <w:szCs w:val="24"/>
              </w:rPr>
              <w:t>is commonplace and that where Boards have appointed a Senior Independent Director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B0F10">
              <w:rPr>
                <w:rFonts w:ascii="Calibri" w:hAnsi="Calibri" w:cs="Calibri"/>
                <w:sz w:val="24"/>
                <w:szCs w:val="24"/>
              </w:rPr>
              <w:t xml:space="preserve">(SID) </w:t>
            </w:r>
            <w:r w:rsidR="00F7549D">
              <w:rPr>
                <w:rFonts w:ascii="Calibri" w:hAnsi="Calibri" w:cs="Calibri"/>
                <w:sz w:val="24"/>
                <w:szCs w:val="24"/>
              </w:rPr>
              <w:t>(or similar)</w:t>
            </w:r>
            <w:r w:rsidR="00B319A4">
              <w:rPr>
                <w:rFonts w:ascii="Calibri" w:hAnsi="Calibri" w:cs="Calibri"/>
                <w:sz w:val="24"/>
                <w:szCs w:val="24"/>
              </w:rPr>
              <w:t xml:space="preserve">, they have a formal role in reviewing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>reports which relate to</w:t>
            </w:r>
            <w:r w:rsidR="009946E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319A4">
              <w:rPr>
                <w:rFonts w:ascii="Calibri" w:hAnsi="Calibri" w:cs="Calibri"/>
                <w:sz w:val="24"/>
                <w:szCs w:val="24"/>
              </w:rPr>
              <w:t>the Chair. Where there is no SID, it is also common for the Remuneration</w:t>
            </w:r>
            <w:r w:rsidR="0045495E">
              <w:rPr>
                <w:rFonts w:ascii="Calibri" w:hAnsi="Calibri" w:cs="Calibri"/>
                <w:sz w:val="24"/>
                <w:szCs w:val="24"/>
              </w:rPr>
              <w:t xml:space="preserve"> and Appointments</w:t>
            </w:r>
            <w:r w:rsidR="00B319A4">
              <w:rPr>
                <w:rFonts w:ascii="Calibri" w:hAnsi="Calibri" w:cs="Calibri"/>
                <w:sz w:val="24"/>
                <w:szCs w:val="24"/>
              </w:rPr>
              <w:t xml:space="preserve"> Committee (or equivalent committee) to have a role in providing assurance to the whole Board that the process has been completed successfully and feedback provided.</w:t>
            </w:r>
            <w:r w:rsidR="00160D4F">
              <w:rPr>
                <w:rFonts w:ascii="Calibri" w:hAnsi="Calibri" w:cs="Calibri"/>
                <w:sz w:val="24"/>
                <w:szCs w:val="24"/>
              </w:rPr>
              <w:t xml:space="preserve">  The Board </w:t>
            </w:r>
            <w:proofErr w:type="gramStart"/>
            <w:r w:rsidR="00160D4F">
              <w:rPr>
                <w:rFonts w:ascii="Calibri" w:hAnsi="Calibri" w:cs="Calibri"/>
                <w:sz w:val="24"/>
                <w:szCs w:val="24"/>
              </w:rPr>
              <w:t>have  appointed</w:t>
            </w:r>
            <w:proofErr w:type="gramEnd"/>
            <w:r w:rsidR="00160D4F">
              <w:rPr>
                <w:rFonts w:ascii="Calibri" w:hAnsi="Calibri" w:cs="Calibri"/>
                <w:sz w:val="24"/>
                <w:szCs w:val="24"/>
              </w:rPr>
              <w:t xml:space="preserve"> a Senior Independent Board Member (SIBM).</w:t>
            </w:r>
          </w:p>
          <w:p w14:paraId="62032C2D" w14:textId="16303762" w:rsidR="0045495E" w:rsidRDefault="0045495E" w:rsidP="007305B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2401A398" w14:textId="77777777" w:rsidTr="000931CF">
        <w:tc>
          <w:tcPr>
            <w:tcW w:w="585" w:type="dxa"/>
            <w:shd w:val="clear" w:color="auto" w:fill="auto"/>
          </w:tcPr>
          <w:p w14:paraId="7E4232FD" w14:textId="77777777" w:rsidR="007305BF" w:rsidRPr="00F33A7F" w:rsidRDefault="007305BF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4CAB0880" w14:textId="77777777" w:rsidR="007305BF" w:rsidRPr="00F33A7F" w:rsidRDefault="007305BF" w:rsidP="00C7435E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7FBBF77C" w14:textId="3E2A8B27" w:rsidR="007305BF" w:rsidRDefault="00B319A4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Set out below is an updated process which we are proposing should be used in </w:t>
            </w:r>
            <w:r w:rsidR="00FA62E3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hAnsi="Calibri" w:cs="Calibri"/>
                <w:sz w:val="24"/>
                <w:szCs w:val="24"/>
              </w:rPr>
              <w:t>future to ensure suitable independence in the process</w:t>
            </w:r>
            <w:r w:rsidR="0045495E">
              <w:rPr>
                <w:rFonts w:ascii="Calibri" w:hAnsi="Calibri" w:cs="Calibri"/>
                <w:sz w:val="24"/>
                <w:szCs w:val="24"/>
              </w:rPr>
              <w:t>.  Also, to provide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assurance to the Board and MHCLG, ARB’s sponsoring department, that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>
              <w:rPr>
                <w:rFonts w:ascii="Calibri" w:hAnsi="Calibri" w:cs="Calibri"/>
                <w:sz w:val="24"/>
                <w:szCs w:val="24"/>
              </w:rPr>
              <w:t>process has been completed properly and that feedback has been provided to the Chair for ongoing development</w:t>
            </w:r>
            <w:r w:rsidR="005E2FF1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7E3E9D56" w14:textId="77777777" w:rsidR="006F5E1B" w:rsidRDefault="006F5E1B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7D6307A" w14:textId="7D2169C4" w:rsidR="006F5E1B" w:rsidRPr="006E02FC" w:rsidRDefault="006F5E1B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76824776"/>
            <w:r w:rsidRPr="006E02FC">
              <w:rPr>
                <w:rFonts w:ascii="Calibri" w:hAnsi="Calibri" w:cs="Calibri"/>
                <w:b/>
                <w:bCs/>
                <w:sz w:val="24"/>
                <w:szCs w:val="24"/>
              </w:rPr>
              <w:t>Board members</w:t>
            </w:r>
          </w:p>
          <w:p w14:paraId="0C387F84" w14:textId="050EA811" w:rsidR="006F5E1B" w:rsidRDefault="006F5E1B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Upon completion of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each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review process and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once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agreement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has been </w:t>
            </w:r>
            <w:r>
              <w:rPr>
                <w:rFonts w:ascii="Calibri" w:hAnsi="Calibri" w:cs="Calibri"/>
                <w:sz w:val="24"/>
                <w:szCs w:val="24"/>
              </w:rPr>
              <w:t>reached between the Chair and individual Board members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regarding their individual review reports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the Chair </w:t>
            </w:r>
            <w:r w:rsidR="006E02FC">
              <w:rPr>
                <w:rFonts w:ascii="Calibri" w:hAnsi="Calibri" w:cs="Calibri"/>
                <w:sz w:val="24"/>
                <w:szCs w:val="24"/>
              </w:rPr>
              <w:t xml:space="preserve">will </w:t>
            </w:r>
            <w:r w:rsidR="005E2FF1">
              <w:rPr>
                <w:rFonts w:ascii="Calibri" w:hAnsi="Calibri" w:cs="Calibri"/>
                <w:sz w:val="24"/>
                <w:szCs w:val="24"/>
              </w:rPr>
              <w:t xml:space="preserve">summarise </w:t>
            </w:r>
            <w:r w:rsidR="006E02FC">
              <w:rPr>
                <w:rFonts w:ascii="Calibri" w:hAnsi="Calibri" w:cs="Calibri"/>
                <w:sz w:val="24"/>
                <w:szCs w:val="24"/>
              </w:rPr>
              <w:t>any common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 themes, trends </w:t>
            </w:r>
            <w:r w:rsidR="006E02FC">
              <w:rPr>
                <w:rFonts w:ascii="Calibri" w:hAnsi="Calibri" w:cs="Calibri"/>
                <w:sz w:val="24"/>
                <w:szCs w:val="24"/>
              </w:rPr>
              <w:t xml:space="preserve">and any areas 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for future </w:t>
            </w:r>
            <w:r w:rsidR="006E02FC">
              <w:rPr>
                <w:rFonts w:ascii="Calibri" w:hAnsi="Calibri" w:cs="Calibri"/>
                <w:sz w:val="24"/>
                <w:szCs w:val="24"/>
              </w:rPr>
              <w:t>development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arising from collective Board members’ reviews</w:t>
            </w:r>
            <w:r w:rsidR="005E2FF1">
              <w:rPr>
                <w:rFonts w:ascii="Calibri" w:hAnsi="Calibri" w:cs="Calibri"/>
                <w:sz w:val="24"/>
                <w:szCs w:val="24"/>
              </w:rPr>
              <w:t>.  This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summary 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will be communicated to the </w:t>
            </w:r>
            <w:r w:rsidR="005E2FF1">
              <w:rPr>
                <w:rFonts w:ascii="Calibri" w:hAnsi="Calibri" w:cs="Calibri"/>
                <w:sz w:val="24"/>
                <w:szCs w:val="24"/>
              </w:rPr>
              <w:t>B</w:t>
            </w:r>
            <w:r w:rsidR="00E65BC2">
              <w:rPr>
                <w:rFonts w:ascii="Calibri" w:hAnsi="Calibri" w:cs="Calibri"/>
                <w:sz w:val="24"/>
                <w:szCs w:val="24"/>
              </w:rPr>
              <w:t>oard in a confidential pre-meeting of the Board.  Individual development</w:t>
            </w:r>
            <w:r w:rsidR="005E2FF1">
              <w:rPr>
                <w:rFonts w:ascii="Calibri" w:hAnsi="Calibri" w:cs="Calibri"/>
                <w:sz w:val="24"/>
                <w:szCs w:val="24"/>
              </w:rPr>
              <w:t xml:space="preserve"> or other </w:t>
            </w:r>
            <w:r w:rsidR="00E65BC2">
              <w:rPr>
                <w:rFonts w:ascii="Calibri" w:hAnsi="Calibri" w:cs="Calibri"/>
                <w:sz w:val="24"/>
                <w:szCs w:val="24"/>
              </w:rPr>
              <w:t>issue</w:t>
            </w:r>
            <w:r w:rsidR="005E2FF1">
              <w:rPr>
                <w:rFonts w:ascii="Calibri" w:hAnsi="Calibri" w:cs="Calibri"/>
                <w:sz w:val="24"/>
                <w:szCs w:val="24"/>
              </w:rPr>
              <w:t>s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 will be dealt with on an individual basis.</w:t>
            </w:r>
          </w:p>
          <w:p w14:paraId="12003679" w14:textId="2D366D4A" w:rsidR="00F7549D" w:rsidRDefault="00F7549D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011136FF" w14:textId="1E525764" w:rsidR="00F7549D" w:rsidRPr="00C12658" w:rsidRDefault="00F7549D" w:rsidP="00F7549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 Chair, in the open session of the Board, as part of Chair’s update will provide confirmation that the Board members’ review process has been completed. </w:t>
            </w:r>
          </w:p>
          <w:p w14:paraId="1C0B859A" w14:textId="77777777" w:rsidR="00F7549D" w:rsidRDefault="00F7549D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84D67FE" w14:textId="77777777" w:rsidR="006E02FC" w:rsidRDefault="006E02FC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FF475FF" w14:textId="6B708ACD" w:rsidR="006E02FC" w:rsidRDefault="006E02FC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02FC">
              <w:rPr>
                <w:rFonts w:ascii="Calibri" w:hAnsi="Calibri" w:cs="Calibri"/>
                <w:b/>
                <w:bCs/>
                <w:sz w:val="24"/>
                <w:szCs w:val="24"/>
              </w:rPr>
              <w:t>Board Chair</w:t>
            </w:r>
          </w:p>
          <w:p w14:paraId="7A935D92" w14:textId="3D00F145" w:rsidR="002814DB" w:rsidRDefault="00B84F40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84F40">
              <w:rPr>
                <w:rFonts w:ascii="Calibri" w:hAnsi="Calibri" w:cs="Calibri"/>
                <w:sz w:val="24"/>
                <w:szCs w:val="24"/>
              </w:rPr>
              <w:t>The Chair</w:t>
            </w:r>
            <w:r w:rsidR="005E2FF1">
              <w:rPr>
                <w:rFonts w:ascii="Calibri" w:hAnsi="Calibri" w:cs="Calibri"/>
                <w:sz w:val="24"/>
                <w:szCs w:val="24"/>
              </w:rPr>
              <w:t>’</w:t>
            </w:r>
            <w:r w:rsidRPr="00B84F40">
              <w:rPr>
                <w:rFonts w:ascii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performance review is undertaken by an independent external individual with the relevant experience.  The independent </w:t>
            </w:r>
            <w:r w:rsidR="00CB0F10">
              <w:rPr>
                <w:rFonts w:ascii="Calibri" w:hAnsi="Calibri" w:cs="Calibri"/>
                <w:sz w:val="24"/>
                <w:szCs w:val="24"/>
              </w:rPr>
              <w:t xml:space="preserve">external </w:t>
            </w:r>
            <w:r w:rsidR="00F7549D">
              <w:rPr>
                <w:rFonts w:ascii="Calibri" w:hAnsi="Calibri" w:cs="Calibri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z w:val="24"/>
                <w:szCs w:val="24"/>
              </w:rPr>
              <w:t>eviewer, upon completion and agreement of the review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report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should meet with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>SIBM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12658">
              <w:rPr>
                <w:rFonts w:ascii="Calibri" w:hAnsi="Calibri" w:cs="Calibri"/>
                <w:sz w:val="24"/>
                <w:szCs w:val="24"/>
              </w:rPr>
              <w:t xml:space="preserve">and the Chief Executive and Registrar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2814DB">
              <w:rPr>
                <w:rFonts w:ascii="Calibri" w:hAnsi="Calibri" w:cs="Calibri"/>
                <w:sz w:val="24"/>
                <w:szCs w:val="24"/>
              </w:rPr>
              <w:t xml:space="preserve">share </w:t>
            </w:r>
            <w:r w:rsidR="00F7549D">
              <w:rPr>
                <w:rFonts w:ascii="Calibri" w:hAnsi="Calibri" w:cs="Calibri"/>
                <w:sz w:val="24"/>
                <w:szCs w:val="24"/>
              </w:rPr>
              <w:t>the Chair’s review</w:t>
            </w:r>
            <w:r w:rsidR="002814DB">
              <w:rPr>
                <w:rFonts w:ascii="Calibri" w:hAnsi="Calibri" w:cs="Calibri"/>
                <w:sz w:val="24"/>
                <w:szCs w:val="24"/>
              </w:rPr>
              <w:t xml:space="preserve"> report and highlight any specific development recommendations for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Chair.  </w:t>
            </w:r>
          </w:p>
          <w:p w14:paraId="1084DE46" w14:textId="77777777" w:rsidR="002814DB" w:rsidRDefault="002814DB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789D7AD" w14:textId="5C1F8974" w:rsidR="006E02FC" w:rsidRPr="00B84F40" w:rsidRDefault="002814DB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Once t</w:t>
            </w:r>
            <w:r w:rsidR="00B319A4">
              <w:rPr>
                <w:rFonts w:ascii="Calibri" w:hAnsi="Calibri" w:cs="Calibri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>
              <w:rPr>
                <w:rFonts w:ascii="Calibri" w:hAnsi="Calibri" w:cs="Calibri"/>
                <w:sz w:val="24"/>
                <w:szCs w:val="24"/>
              </w:rPr>
              <w:t>process is complete, t</w:t>
            </w:r>
            <w:r w:rsidR="00213806">
              <w:rPr>
                <w:rFonts w:ascii="Calibri" w:hAnsi="Calibri" w:cs="Calibri"/>
                <w:sz w:val="24"/>
                <w:szCs w:val="24"/>
              </w:rPr>
              <w:t xml:space="preserve">he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Chair </w:t>
            </w:r>
            <w:r w:rsidR="00213806">
              <w:rPr>
                <w:rFonts w:ascii="Calibri" w:hAnsi="Calibri" w:cs="Calibri"/>
                <w:sz w:val="24"/>
                <w:szCs w:val="24"/>
              </w:rPr>
              <w:t xml:space="preserve">will provide a </w:t>
            </w:r>
            <w:r w:rsidR="00E65BC2">
              <w:rPr>
                <w:rFonts w:ascii="Calibri" w:hAnsi="Calibri" w:cs="Calibri"/>
                <w:sz w:val="24"/>
                <w:szCs w:val="24"/>
              </w:rPr>
              <w:t>verbal</w:t>
            </w:r>
            <w:r w:rsidR="00213806">
              <w:rPr>
                <w:rFonts w:ascii="Calibri" w:hAnsi="Calibri" w:cs="Calibri"/>
                <w:sz w:val="24"/>
                <w:szCs w:val="24"/>
              </w:rPr>
              <w:t xml:space="preserve"> summary of any </w:t>
            </w:r>
            <w:r w:rsidR="008209F9">
              <w:rPr>
                <w:rFonts w:ascii="Calibri" w:hAnsi="Calibri" w:cs="Calibri"/>
                <w:sz w:val="24"/>
                <w:szCs w:val="24"/>
              </w:rPr>
              <w:t xml:space="preserve">key points emerging from the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review </w:t>
            </w:r>
            <w:r w:rsidR="00FA62E3">
              <w:rPr>
                <w:rFonts w:ascii="Calibri" w:hAnsi="Calibri" w:cs="Calibri"/>
                <w:sz w:val="24"/>
                <w:szCs w:val="24"/>
              </w:rPr>
              <w:t>process in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 a confidential pre-meeting of the Board.  </w:t>
            </w:r>
            <w:r w:rsidR="00C12658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E65BC2">
              <w:rPr>
                <w:rFonts w:ascii="Calibri" w:hAnsi="Calibri" w:cs="Calibri"/>
                <w:sz w:val="24"/>
                <w:szCs w:val="24"/>
              </w:rPr>
              <w:t>SI</w:t>
            </w:r>
            <w:r w:rsidR="00F7549D">
              <w:rPr>
                <w:rFonts w:ascii="Calibri" w:hAnsi="Calibri" w:cs="Calibri"/>
                <w:sz w:val="24"/>
                <w:szCs w:val="24"/>
              </w:rPr>
              <w:t>BM</w:t>
            </w:r>
            <w:r w:rsidR="00E65B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B319A4">
              <w:rPr>
                <w:rFonts w:ascii="Calibri" w:hAnsi="Calibri" w:cs="Calibri"/>
                <w:sz w:val="24"/>
                <w:szCs w:val="24"/>
              </w:rPr>
              <w:t>will be invited to add any further comments</w:t>
            </w:r>
            <w:r w:rsidR="008209F9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4984BF4" w14:textId="7ABA3DB9" w:rsidR="006E02FC" w:rsidRDefault="006E02FC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5DED273" w14:textId="541E7DB5" w:rsidR="00C12658" w:rsidRDefault="00C12658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The Chair, in the open session of the Board, as part of Chair</w:t>
            </w:r>
            <w:r w:rsidR="005E2FF1">
              <w:rPr>
                <w:rFonts w:ascii="Calibri" w:hAnsi="Calibri" w:cs="Calibri"/>
                <w:sz w:val="24"/>
                <w:szCs w:val="24"/>
              </w:rPr>
              <w:t>’</w:t>
            </w:r>
            <w:r>
              <w:rPr>
                <w:rFonts w:ascii="Calibri" w:hAnsi="Calibri" w:cs="Calibri"/>
                <w:sz w:val="24"/>
                <w:szCs w:val="24"/>
              </w:rPr>
              <w:t>s update will provide confirmation that the process has been complete</w:t>
            </w:r>
            <w:r w:rsidR="005E2FF1">
              <w:rPr>
                <w:rFonts w:ascii="Calibri" w:hAnsi="Calibri" w:cs="Calibri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30C979D2" w14:textId="612DC12E" w:rsidR="001C76BF" w:rsidRDefault="001C76BF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14:paraId="5521D9EA" w14:textId="4D377133" w:rsidR="001C76BF" w:rsidRPr="00C254C7" w:rsidRDefault="001C76BF" w:rsidP="001C76B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254C7">
              <w:rPr>
                <w:rFonts w:ascii="Calibri" w:hAnsi="Calibri" w:cs="Calibri"/>
                <w:b/>
                <w:bCs/>
                <w:sz w:val="24"/>
                <w:szCs w:val="24"/>
              </w:rPr>
              <w:t>All other non-executives</w:t>
            </w:r>
          </w:p>
          <w:p w14:paraId="3358E0B9" w14:textId="074C070A" w:rsidR="001C76BF" w:rsidRDefault="00C254C7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There are no proposed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changes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and t</w:t>
            </w:r>
            <w:r w:rsidR="001C76BF">
              <w:rPr>
                <w:rFonts w:ascii="Calibri" w:hAnsi="Calibri" w:cs="Calibri"/>
                <w:sz w:val="24"/>
                <w:szCs w:val="24"/>
              </w:rPr>
              <w:t xml:space="preserve">he process will remain the same as set out in </w:t>
            </w:r>
            <w:r>
              <w:rPr>
                <w:rFonts w:ascii="Calibri" w:hAnsi="Calibri" w:cs="Calibri"/>
                <w:sz w:val="24"/>
                <w:szCs w:val="24"/>
              </w:rPr>
              <w:t>Annex A</w:t>
            </w:r>
          </w:p>
          <w:p w14:paraId="56D9F9D1" w14:textId="77777777" w:rsidR="001C76BF" w:rsidRPr="00C12658" w:rsidRDefault="001C76BF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bookmarkEnd w:id="1"/>
          <w:p w14:paraId="5871E240" w14:textId="2C9B6167" w:rsidR="006E02FC" w:rsidRPr="00F94246" w:rsidRDefault="006E02FC" w:rsidP="007305B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01BEB" w:rsidRPr="00C12658" w14:paraId="79038758" w14:textId="77777777" w:rsidTr="000931CF">
        <w:tc>
          <w:tcPr>
            <w:tcW w:w="585" w:type="dxa"/>
            <w:shd w:val="clear" w:color="auto" w:fill="auto"/>
          </w:tcPr>
          <w:p w14:paraId="70426280" w14:textId="77777777" w:rsidR="00101BEB" w:rsidRPr="00C12658" w:rsidRDefault="00101BEB" w:rsidP="00F33A7F">
            <w:pPr>
              <w:spacing w:before="40"/>
              <w:rPr>
                <w:rFonts w:ascii="Helvetica 65 Medium" w:hAnsi="Helvetica 65 Medium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3DC9CEC6" w14:textId="77777777" w:rsidR="00101BEB" w:rsidRPr="00C12658" w:rsidRDefault="00101BEB" w:rsidP="00C7435E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4AB4975D" w14:textId="507C2BDF" w:rsidR="00101BEB" w:rsidRDefault="00101BEB" w:rsidP="00CB725B">
            <w:pPr>
              <w:rPr>
                <w:rFonts w:ascii="Calibri" w:hAnsi="Calibri" w:cs="Calibri"/>
                <w:sz w:val="24"/>
                <w:szCs w:val="24"/>
              </w:rPr>
            </w:pPr>
            <w:bookmarkStart w:id="2" w:name="_Hlk73098764"/>
            <w:r w:rsidRPr="00101BEB">
              <w:rPr>
                <w:rFonts w:ascii="Calibri" w:hAnsi="Calibri" w:cs="Calibri"/>
                <w:sz w:val="24"/>
                <w:szCs w:val="24"/>
              </w:rPr>
              <w:t xml:space="preserve">It is important that participants in any review process feel confident that they can give open and honest feedback that will remain </w:t>
            </w:r>
            <w:r w:rsidR="009946E1" w:rsidRPr="00101BEB">
              <w:rPr>
                <w:rFonts w:ascii="Calibri" w:hAnsi="Calibri" w:cs="Calibri"/>
                <w:sz w:val="24"/>
                <w:szCs w:val="24"/>
              </w:rPr>
              <w:t>confidential</w:t>
            </w:r>
            <w:r w:rsidR="009946E1">
              <w:rPr>
                <w:rFonts w:ascii="Calibri" w:hAnsi="Calibri" w:cs="Calibri"/>
                <w:sz w:val="24"/>
                <w:szCs w:val="24"/>
              </w:rPr>
              <w:t>.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In the case of the Chair’s </w:t>
            </w:r>
            <w:r w:rsidR="009946E1">
              <w:rPr>
                <w:rFonts w:ascii="Calibri" w:hAnsi="Calibri" w:cs="Calibri"/>
                <w:sz w:val="24"/>
                <w:szCs w:val="24"/>
              </w:rPr>
              <w:t>review, Board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members will be free to contribute feedback as part of the process through a variety of ways, however only </w:t>
            </w:r>
            <w:r w:rsidR="00FA62E3">
              <w:rPr>
                <w:rFonts w:ascii="Calibri" w:hAnsi="Calibri" w:cs="Calibri"/>
                <w:sz w:val="24"/>
                <w:szCs w:val="24"/>
              </w:rPr>
              <w:t xml:space="preserve">the appointed independent </w:t>
            </w:r>
            <w:r w:rsidR="00CB0F10">
              <w:rPr>
                <w:rFonts w:ascii="Calibri" w:hAnsi="Calibri" w:cs="Calibri"/>
                <w:sz w:val="24"/>
                <w:szCs w:val="24"/>
              </w:rPr>
              <w:t xml:space="preserve">external </w:t>
            </w:r>
            <w:r w:rsidR="00F7549D">
              <w:rPr>
                <w:rFonts w:ascii="Calibri" w:hAnsi="Calibri" w:cs="Calibri"/>
                <w:sz w:val="24"/>
                <w:szCs w:val="24"/>
              </w:rPr>
              <w:t>reviewer</w:t>
            </w:r>
            <w:r w:rsidR="00FA62E3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A62E3">
              <w:rPr>
                <w:rFonts w:ascii="Calibri" w:hAnsi="Calibri" w:cs="Calibri"/>
                <w:sz w:val="24"/>
                <w:szCs w:val="24"/>
              </w:rPr>
              <w:t xml:space="preserve">CEO and 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="00FA62E3">
              <w:rPr>
                <w:rFonts w:ascii="Calibri" w:hAnsi="Calibri" w:cs="Calibri"/>
                <w:sz w:val="24"/>
                <w:szCs w:val="24"/>
              </w:rPr>
              <w:t>SI</w:t>
            </w:r>
            <w:r w:rsidR="00F7549D">
              <w:rPr>
                <w:rFonts w:ascii="Calibri" w:hAnsi="Calibri" w:cs="Calibri"/>
                <w:sz w:val="24"/>
                <w:szCs w:val="24"/>
              </w:rPr>
              <w:t>BM will routinely see the full review report.  Summaries of the Chair’s report will be dealt with as outlined above.</w:t>
            </w:r>
            <w:r w:rsidRPr="00101B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7549D">
              <w:rPr>
                <w:rFonts w:ascii="Calibri" w:hAnsi="Calibri" w:cs="Calibri"/>
                <w:sz w:val="24"/>
                <w:szCs w:val="24"/>
              </w:rPr>
              <w:t>In the case of individual Board members, reports, the Chair will provide a summary of any key themes, trends etc., as described above.   N</w:t>
            </w:r>
            <w:r w:rsidR="00F7549D" w:rsidRPr="00E656C8">
              <w:rPr>
                <w:rFonts w:ascii="Calibri" w:hAnsi="Calibri" w:cs="Calibri"/>
                <w:sz w:val="24"/>
                <w:szCs w:val="24"/>
              </w:rPr>
              <w:t>o individuals will be identified</w:t>
            </w:r>
            <w:r w:rsidR="00F7549D">
              <w:rPr>
                <w:rFonts w:ascii="Calibri" w:hAnsi="Calibri" w:cs="Calibri"/>
                <w:sz w:val="24"/>
                <w:szCs w:val="24"/>
              </w:rPr>
              <w:t xml:space="preserve"> within the Chair’s summary.</w:t>
            </w:r>
          </w:p>
          <w:bookmarkEnd w:id="2"/>
          <w:p w14:paraId="020E4897" w14:textId="2B35D18B" w:rsidR="00101BEB" w:rsidRPr="00101BEB" w:rsidRDefault="00101BEB" w:rsidP="00CB725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55033C" w:rsidRPr="00C12658" w14:paraId="32603723" w14:textId="77777777" w:rsidTr="000931CF">
        <w:tc>
          <w:tcPr>
            <w:tcW w:w="585" w:type="dxa"/>
            <w:shd w:val="clear" w:color="auto" w:fill="auto"/>
          </w:tcPr>
          <w:p w14:paraId="6DEDB8BC" w14:textId="77777777" w:rsidR="0055033C" w:rsidRPr="00C12658" w:rsidRDefault="0055033C" w:rsidP="00F33A7F">
            <w:pPr>
              <w:spacing w:before="40"/>
              <w:rPr>
                <w:rFonts w:ascii="Helvetica 65 Medium" w:hAnsi="Helvetica 65 Medium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53D4FF2E" w14:textId="77777777" w:rsidR="0055033C" w:rsidRPr="00C12658" w:rsidRDefault="0055033C" w:rsidP="00C7435E">
            <w:pPr>
              <w:numPr>
                <w:ilvl w:val="0"/>
                <w:numId w:val="3"/>
              </w:numPr>
              <w:spacing w:before="40" w:after="4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024CB3E7" w14:textId="2FB2411B" w:rsidR="0055033C" w:rsidRDefault="00C12658" w:rsidP="00CB725B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12658">
              <w:rPr>
                <w:rFonts w:ascii="Calibri" w:hAnsi="Calibri" w:cs="Calibri"/>
                <w:bCs/>
                <w:sz w:val="24"/>
                <w:szCs w:val="24"/>
              </w:rPr>
              <w:t xml:space="preserve">MHCLG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can request to see any Board members</w:t>
            </w:r>
            <w:r w:rsidR="00F7549D">
              <w:rPr>
                <w:rFonts w:ascii="Calibri" w:hAnsi="Calibri" w:cs="Calibri"/>
                <w:bCs/>
                <w:sz w:val="24"/>
                <w:szCs w:val="24"/>
              </w:rPr>
              <w:t>’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 xml:space="preserve">reviews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in full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and 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 xml:space="preserve">they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must be provided if </w:t>
            </w:r>
            <w:r w:rsidR="005E2FF1">
              <w:rPr>
                <w:rFonts w:ascii="Calibri" w:hAnsi="Calibri" w:cs="Calibri"/>
                <w:bCs/>
                <w:sz w:val="24"/>
                <w:szCs w:val="24"/>
              </w:rPr>
              <w:t xml:space="preserve">a Board member or the Board Chair is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seeking re-appointment.</w:t>
            </w:r>
          </w:p>
          <w:p w14:paraId="2D4E5D5B" w14:textId="610119EE" w:rsidR="00101BEB" w:rsidRPr="00C12658" w:rsidRDefault="00101BEB" w:rsidP="00CB725B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A62E3" w:rsidRPr="00C12658" w14:paraId="131B956D" w14:textId="77777777" w:rsidTr="000931CF">
        <w:tc>
          <w:tcPr>
            <w:tcW w:w="585" w:type="dxa"/>
            <w:shd w:val="clear" w:color="auto" w:fill="auto"/>
          </w:tcPr>
          <w:p w14:paraId="1DA13AB0" w14:textId="77777777" w:rsidR="00FA62E3" w:rsidRPr="00C12658" w:rsidRDefault="00FA62E3" w:rsidP="00580881">
            <w:pPr>
              <w:spacing w:before="40" w:after="240"/>
              <w:rPr>
                <w:rFonts w:ascii="Helvetica 65 Medium" w:hAnsi="Helvetica 65 Medium"/>
                <w:bCs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</w:tcPr>
          <w:p w14:paraId="4D553C7E" w14:textId="77777777" w:rsidR="00FA62E3" w:rsidRPr="00C12658" w:rsidRDefault="00FA62E3" w:rsidP="00580881">
            <w:pPr>
              <w:numPr>
                <w:ilvl w:val="0"/>
                <w:numId w:val="3"/>
              </w:numPr>
              <w:spacing w:before="40" w:after="240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8182" w:type="dxa"/>
            <w:shd w:val="clear" w:color="auto" w:fill="auto"/>
          </w:tcPr>
          <w:p w14:paraId="00F4445A" w14:textId="012932E2" w:rsidR="00FA62E3" w:rsidRDefault="00FA62E3" w:rsidP="00580881">
            <w:p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As part of transparency of </w:t>
            </w:r>
            <w:r w:rsidR="00580881">
              <w:rPr>
                <w:rFonts w:ascii="Calibri" w:hAnsi="Calibri" w:cs="Calibri"/>
                <w:sz w:val="24"/>
                <w:szCs w:val="24"/>
              </w:rPr>
              <w:t>process, it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is</w:t>
            </w:r>
            <w:r w:rsidR="00535428">
              <w:rPr>
                <w:rFonts w:ascii="Calibri" w:hAnsi="Calibri" w:cs="Calibri"/>
                <w:sz w:val="24"/>
                <w:szCs w:val="24"/>
              </w:rPr>
              <w:t xml:space="preserve"> also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important that the policy sets out how the independent person carry</w:t>
            </w:r>
            <w:r w:rsidR="0045495E">
              <w:rPr>
                <w:rFonts w:ascii="Calibri" w:hAnsi="Calibri" w:cs="Calibri"/>
                <w:sz w:val="24"/>
                <w:szCs w:val="24"/>
              </w:rPr>
              <w:t>ing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out the Chair</w:t>
            </w:r>
            <w:r w:rsidR="00535428">
              <w:rPr>
                <w:rFonts w:ascii="Calibri" w:hAnsi="Calibri" w:cs="Calibri"/>
                <w:sz w:val="24"/>
                <w:szCs w:val="24"/>
              </w:rPr>
              <w:t>’</w:t>
            </w:r>
            <w:r>
              <w:rPr>
                <w:rFonts w:ascii="Calibri" w:hAnsi="Calibri" w:cs="Calibri"/>
                <w:sz w:val="24"/>
                <w:szCs w:val="24"/>
              </w:rPr>
              <w:t>s appraisal is selected.  Therefore, it is proposed that:</w:t>
            </w:r>
          </w:p>
          <w:p w14:paraId="59FE7D59" w14:textId="473E7271" w:rsidR="00FA62E3" w:rsidRPr="00580881" w:rsidRDefault="00580881" w:rsidP="00580881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 consultation with the Chair of the Remuneration and Appointments Committee, the CEO and SI</w:t>
            </w:r>
            <w:r w:rsidR="00535428">
              <w:rPr>
                <w:rFonts w:ascii="Calibri" w:hAnsi="Calibri" w:cs="Calibri"/>
                <w:sz w:val="24"/>
                <w:szCs w:val="24"/>
              </w:rPr>
              <w:t>BM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will select an appropriate individual to carry out the Chair</w:t>
            </w:r>
            <w:r w:rsidR="00535428">
              <w:rPr>
                <w:rFonts w:ascii="Calibri" w:hAnsi="Calibri" w:cs="Calibri"/>
                <w:sz w:val="24"/>
                <w:szCs w:val="24"/>
              </w:rPr>
              <w:t>’</w:t>
            </w:r>
            <w:r>
              <w:rPr>
                <w:rFonts w:ascii="Calibri" w:hAnsi="Calibri" w:cs="Calibri"/>
                <w:sz w:val="24"/>
                <w:szCs w:val="24"/>
              </w:rPr>
              <w:t>s review.</w:t>
            </w:r>
          </w:p>
        </w:tc>
      </w:tr>
      <w:tr w:rsidR="007305BF" w:rsidRPr="00F33A7F" w14:paraId="63829125" w14:textId="77777777" w:rsidTr="000931CF">
        <w:tc>
          <w:tcPr>
            <w:tcW w:w="585" w:type="dxa"/>
            <w:shd w:val="clear" w:color="auto" w:fill="auto"/>
          </w:tcPr>
          <w:p w14:paraId="303013B4" w14:textId="77777777" w:rsidR="007305BF" w:rsidRPr="00AD1E96" w:rsidRDefault="007305BF" w:rsidP="00F33A7F">
            <w:pPr>
              <w:spacing w:before="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3F70C000" w14:textId="77777777" w:rsidR="007305BF" w:rsidRPr="00AD1E96" w:rsidRDefault="007305BF" w:rsidP="00C7435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318ADD48" w14:textId="77777777" w:rsidTr="000931CF">
        <w:tc>
          <w:tcPr>
            <w:tcW w:w="585" w:type="dxa"/>
            <w:vMerge w:val="restart"/>
            <w:shd w:val="clear" w:color="auto" w:fill="auto"/>
          </w:tcPr>
          <w:p w14:paraId="23072DC8" w14:textId="77777777" w:rsidR="007305BF" w:rsidRPr="00F63BDD" w:rsidRDefault="007305BF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6.</w:t>
            </w:r>
          </w:p>
        </w:tc>
        <w:tc>
          <w:tcPr>
            <w:tcW w:w="9053" w:type="dxa"/>
            <w:gridSpan w:val="3"/>
            <w:shd w:val="clear" w:color="auto" w:fill="auto"/>
          </w:tcPr>
          <w:p w14:paraId="6574165D" w14:textId="77777777" w:rsidR="007305BF" w:rsidRPr="00F63BDD" w:rsidRDefault="007305BF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Resource implications</w:t>
            </w:r>
          </w:p>
        </w:tc>
      </w:tr>
      <w:tr w:rsidR="007305BF" w:rsidRPr="00F33A7F" w14:paraId="7BDEAC52" w14:textId="77777777" w:rsidTr="000931CF">
        <w:tc>
          <w:tcPr>
            <w:tcW w:w="585" w:type="dxa"/>
            <w:vMerge/>
            <w:shd w:val="clear" w:color="auto" w:fill="auto"/>
          </w:tcPr>
          <w:p w14:paraId="3757D16C" w14:textId="77777777" w:rsidR="007305BF" w:rsidRPr="00F63BDD" w:rsidRDefault="007305BF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3F09F3E7" w14:textId="3B589D18" w:rsidR="007305BF" w:rsidRPr="00F33A7F" w:rsidRDefault="0084796C" w:rsidP="0011287A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There are no significant financial resource implications in moving forward with the </w:t>
            </w:r>
            <w:r w:rsidR="00CB0F10">
              <w:rPr>
                <w:rFonts w:ascii="Calibri" w:hAnsi="Calibri" w:cs="Calibri"/>
                <w:sz w:val="24"/>
                <w:szCs w:val="24"/>
              </w:rPr>
              <w:t xml:space="preserve">adjustments to the </w:t>
            </w:r>
            <w:r>
              <w:rPr>
                <w:rFonts w:ascii="Calibri" w:hAnsi="Calibri" w:cs="Calibri"/>
                <w:sz w:val="24"/>
                <w:szCs w:val="24"/>
              </w:rPr>
              <w:t>review process of the Board and Committee members.  However, there will be human resource required to co-ordinate the process along with the Board Chair.</w:t>
            </w:r>
          </w:p>
        </w:tc>
      </w:tr>
      <w:tr w:rsidR="007305BF" w:rsidRPr="00F33A7F" w14:paraId="6D1F7382" w14:textId="77777777" w:rsidTr="000931CF">
        <w:tc>
          <w:tcPr>
            <w:tcW w:w="585" w:type="dxa"/>
            <w:shd w:val="clear" w:color="auto" w:fill="auto"/>
          </w:tcPr>
          <w:p w14:paraId="2885C9F7" w14:textId="77777777" w:rsidR="007305BF" w:rsidRPr="00F63BDD" w:rsidRDefault="007305BF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2FA1CC18" w14:textId="77777777" w:rsidR="007305BF" w:rsidRPr="00F63BDD" w:rsidRDefault="007305BF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</w:p>
        </w:tc>
      </w:tr>
      <w:tr w:rsidR="007305BF" w:rsidRPr="00F63BDD" w14:paraId="2C6D8311" w14:textId="77777777" w:rsidTr="000931CF">
        <w:tc>
          <w:tcPr>
            <w:tcW w:w="585" w:type="dxa"/>
            <w:vMerge w:val="restart"/>
            <w:shd w:val="clear" w:color="auto" w:fill="auto"/>
          </w:tcPr>
          <w:p w14:paraId="6A9F244E" w14:textId="77777777" w:rsidR="007305BF" w:rsidRPr="00F63BDD" w:rsidRDefault="007305BF" w:rsidP="00C64A53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7.</w:t>
            </w:r>
          </w:p>
        </w:tc>
        <w:tc>
          <w:tcPr>
            <w:tcW w:w="9053" w:type="dxa"/>
            <w:gridSpan w:val="3"/>
            <w:shd w:val="clear" w:color="auto" w:fill="auto"/>
          </w:tcPr>
          <w:p w14:paraId="7640BBB2" w14:textId="77777777" w:rsidR="007305BF" w:rsidRPr="00F63BDD" w:rsidRDefault="007305BF" w:rsidP="00C64A53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Risk Implications</w:t>
            </w:r>
          </w:p>
        </w:tc>
      </w:tr>
      <w:tr w:rsidR="007305BF" w:rsidRPr="00F33A7F" w14:paraId="28507831" w14:textId="77777777" w:rsidTr="000931CF">
        <w:tc>
          <w:tcPr>
            <w:tcW w:w="585" w:type="dxa"/>
            <w:vMerge/>
            <w:shd w:val="clear" w:color="auto" w:fill="auto"/>
          </w:tcPr>
          <w:p w14:paraId="0049F022" w14:textId="77777777" w:rsidR="007305BF" w:rsidRPr="00F63BDD" w:rsidRDefault="007305BF" w:rsidP="00C64A53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31D95D54" w14:textId="115096F1" w:rsidR="0084796C" w:rsidRDefault="0084796C" w:rsidP="0084796C">
            <w:pPr>
              <w:pStyle w:val="Default"/>
            </w:pPr>
            <w:r>
              <w:t>The revisions are aimed at ensuring ARB has an effective, robust but proportionate performance review process, which aligns with the ARB/MHCLG Framework Agreement and Board members’ conditions of appointment in place.</w:t>
            </w:r>
          </w:p>
          <w:p w14:paraId="726503D2" w14:textId="77777777" w:rsidR="007305BF" w:rsidRPr="00F33A7F" w:rsidRDefault="007305BF" w:rsidP="0084796C">
            <w:pPr>
              <w:pStyle w:val="Default"/>
            </w:pPr>
          </w:p>
        </w:tc>
      </w:tr>
      <w:tr w:rsidR="007305BF" w:rsidRPr="00F33A7F" w14:paraId="3AFF0A00" w14:textId="77777777" w:rsidTr="000931CF">
        <w:tc>
          <w:tcPr>
            <w:tcW w:w="585" w:type="dxa"/>
            <w:shd w:val="clear" w:color="auto" w:fill="auto"/>
          </w:tcPr>
          <w:p w14:paraId="321FAEAB" w14:textId="77777777" w:rsidR="007305BF" w:rsidRPr="00AD1E96" w:rsidRDefault="007305BF" w:rsidP="00F33A7F">
            <w:pPr>
              <w:spacing w:before="40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shd w:val="clear" w:color="auto" w:fill="auto"/>
          </w:tcPr>
          <w:p w14:paraId="047C98D0" w14:textId="77777777" w:rsidR="007305BF" w:rsidRPr="00AD1E96" w:rsidRDefault="007305BF" w:rsidP="00C7435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7E87FB83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82CE" w14:textId="77777777" w:rsidR="007305BF" w:rsidRPr="00F63BDD" w:rsidRDefault="007305BF" w:rsidP="00F33A7F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8</w:t>
            </w: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.</w:t>
            </w: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A0CBF" w14:textId="77777777" w:rsidR="007305BF" w:rsidRPr="00F63BDD" w:rsidRDefault="007305BF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Communication</w:t>
            </w:r>
          </w:p>
        </w:tc>
      </w:tr>
      <w:tr w:rsidR="007305BF" w:rsidRPr="00F33A7F" w14:paraId="7198087E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C1A8" w14:textId="77777777" w:rsidR="007305BF" w:rsidRPr="00F33A7F" w:rsidRDefault="007305BF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EAD37" w14:textId="5BBB5279" w:rsidR="007305BF" w:rsidRPr="000273C9" w:rsidRDefault="0084796C" w:rsidP="00A93F31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Having a clear and transparent performance and review process in place supports good corporate governance.</w:t>
            </w:r>
          </w:p>
        </w:tc>
      </w:tr>
      <w:tr w:rsidR="00945348" w:rsidRPr="00F33A7F" w14:paraId="17DB499D" w14:textId="77777777" w:rsidTr="00093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AD12B" w14:textId="77777777" w:rsidR="00945348" w:rsidRPr="00F33A7F" w:rsidRDefault="00945348" w:rsidP="00F33A7F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4128" w14:textId="77777777" w:rsidR="00945348" w:rsidRPr="00F33A7F" w:rsidRDefault="00945348" w:rsidP="00A93F31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6C5EC80A" w14:textId="77777777" w:rsidTr="000931CF">
        <w:tc>
          <w:tcPr>
            <w:tcW w:w="601" w:type="dxa"/>
            <w:gridSpan w:val="2"/>
            <w:vMerge w:val="restart"/>
            <w:shd w:val="clear" w:color="auto" w:fill="auto"/>
          </w:tcPr>
          <w:p w14:paraId="52A3DAB6" w14:textId="77777777" w:rsidR="007305BF" w:rsidRPr="00F63BDD" w:rsidRDefault="007305BF" w:rsidP="00C7435E">
            <w:pPr>
              <w:spacing w:before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9</w:t>
            </w: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 xml:space="preserve">. </w:t>
            </w:r>
          </w:p>
        </w:tc>
        <w:tc>
          <w:tcPr>
            <w:tcW w:w="9037" w:type="dxa"/>
            <w:gridSpan w:val="2"/>
            <w:shd w:val="clear" w:color="auto" w:fill="auto"/>
          </w:tcPr>
          <w:p w14:paraId="730A4750" w14:textId="77777777" w:rsidR="007305BF" w:rsidRPr="00F63BDD" w:rsidRDefault="007305BF" w:rsidP="00C7435E">
            <w:pPr>
              <w:spacing w:before="40" w:after="40"/>
              <w:rPr>
                <w:rFonts w:ascii="Calibri" w:hAnsi="Calibri" w:cs="Calibri"/>
                <w:b/>
                <w:color w:val="4F81BD"/>
                <w:sz w:val="24"/>
                <w:szCs w:val="24"/>
              </w:rPr>
            </w:pPr>
            <w:r w:rsidRPr="00F63BDD">
              <w:rPr>
                <w:rFonts w:ascii="Calibri" w:hAnsi="Calibri" w:cs="Calibri"/>
                <w:b/>
                <w:color w:val="4F81BD"/>
                <w:sz w:val="24"/>
                <w:szCs w:val="24"/>
              </w:rPr>
              <w:t>Equality and Diversity Implications</w:t>
            </w:r>
          </w:p>
        </w:tc>
      </w:tr>
      <w:tr w:rsidR="007305BF" w:rsidRPr="00F33A7F" w14:paraId="212D0E00" w14:textId="77777777" w:rsidTr="000931CF">
        <w:tc>
          <w:tcPr>
            <w:tcW w:w="601" w:type="dxa"/>
            <w:gridSpan w:val="2"/>
            <w:vMerge/>
            <w:shd w:val="clear" w:color="auto" w:fill="auto"/>
          </w:tcPr>
          <w:p w14:paraId="0B2D0AC4" w14:textId="77777777" w:rsidR="007305BF" w:rsidRPr="00F33A7F" w:rsidRDefault="007305BF" w:rsidP="00C7435E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shd w:val="clear" w:color="auto" w:fill="auto"/>
          </w:tcPr>
          <w:p w14:paraId="36A63431" w14:textId="39E44AE5" w:rsidR="007305BF" w:rsidRPr="00F33A7F" w:rsidRDefault="0084796C" w:rsidP="0084796C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None identified.</w:t>
            </w:r>
          </w:p>
        </w:tc>
      </w:tr>
      <w:tr w:rsidR="00945348" w:rsidRPr="00F33A7F" w14:paraId="6ABAD31E" w14:textId="77777777" w:rsidTr="000931CF">
        <w:tc>
          <w:tcPr>
            <w:tcW w:w="601" w:type="dxa"/>
            <w:gridSpan w:val="2"/>
            <w:shd w:val="clear" w:color="auto" w:fill="auto"/>
          </w:tcPr>
          <w:p w14:paraId="587ED371" w14:textId="77777777" w:rsidR="00945348" w:rsidRPr="00F33A7F" w:rsidRDefault="00945348" w:rsidP="00C7435E">
            <w:pPr>
              <w:spacing w:before="40"/>
              <w:rPr>
                <w:rFonts w:ascii="Helvetica 65 Medium" w:hAnsi="Helvetica 65 Medium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shd w:val="clear" w:color="auto" w:fill="auto"/>
          </w:tcPr>
          <w:p w14:paraId="14826DCB" w14:textId="77777777" w:rsidR="00945348" w:rsidRPr="008927C4" w:rsidRDefault="00945348" w:rsidP="007305BF">
            <w:pPr>
              <w:spacing w:before="40" w:after="40" w:line="24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305BF" w:rsidRPr="00F33A7F" w14:paraId="6EBED581" w14:textId="77777777" w:rsidTr="000931CF">
        <w:tc>
          <w:tcPr>
            <w:tcW w:w="601" w:type="dxa"/>
            <w:gridSpan w:val="2"/>
            <w:shd w:val="clear" w:color="auto" w:fill="auto"/>
          </w:tcPr>
          <w:p w14:paraId="1C4225F4" w14:textId="77777777" w:rsidR="007305BF" w:rsidRPr="002C3DEC" w:rsidRDefault="007305BF" w:rsidP="00C35107">
            <w:pPr>
              <w:spacing w:before="40"/>
              <w:rPr>
                <w:rFonts w:asciiTheme="minorHAnsi" w:hAnsiTheme="minorHAnsi"/>
                <w:b/>
                <w:color w:val="548DD4" w:themeColor="text2" w:themeTint="99"/>
                <w:sz w:val="24"/>
                <w:szCs w:val="24"/>
              </w:rPr>
            </w:pPr>
            <w:r w:rsidRPr="002C3DEC">
              <w:rPr>
                <w:rFonts w:asciiTheme="minorHAnsi" w:hAnsiTheme="minorHAnsi"/>
                <w:b/>
                <w:color w:val="548DD4" w:themeColor="text2" w:themeTint="99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/>
                <w:color w:val="548DD4" w:themeColor="text2" w:themeTint="99"/>
                <w:sz w:val="24"/>
                <w:szCs w:val="24"/>
              </w:rPr>
              <w:t>0</w:t>
            </w:r>
            <w:r w:rsidRPr="002C3DEC">
              <w:rPr>
                <w:rFonts w:asciiTheme="minorHAnsi" w:hAnsiTheme="minorHAnsi"/>
                <w:b/>
                <w:color w:val="548DD4" w:themeColor="text2" w:themeTint="99"/>
                <w:sz w:val="24"/>
                <w:szCs w:val="24"/>
              </w:rPr>
              <w:t>.</w:t>
            </w:r>
          </w:p>
        </w:tc>
        <w:tc>
          <w:tcPr>
            <w:tcW w:w="9037" w:type="dxa"/>
            <w:gridSpan w:val="2"/>
            <w:shd w:val="clear" w:color="auto" w:fill="auto"/>
          </w:tcPr>
          <w:p w14:paraId="30B6C561" w14:textId="77777777" w:rsidR="007305BF" w:rsidRPr="002C3DEC" w:rsidRDefault="007305BF" w:rsidP="00C7435E">
            <w:pPr>
              <w:spacing w:before="40" w:after="40"/>
              <w:rPr>
                <w:rFonts w:asciiTheme="minorHAnsi" w:hAnsiTheme="minorHAnsi" w:cs="Calibri"/>
                <w:b/>
                <w:color w:val="548DD4" w:themeColor="text2" w:themeTint="99"/>
                <w:sz w:val="24"/>
                <w:szCs w:val="24"/>
              </w:rPr>
            </w:pPr>
            <w:r w:rsidRPr="002C3DEC">
              <w:rPr>
                <w:rFonts w:asciiTheme="minorHAnsi" w:hAnsiTheme="minorHAnsi" w:cs="Calibri"/>
                <w:b/>
                <w:color w:val="548DD4" w:themeColor="text2" w:themeTint="99"/>
                <w:sz w:val="24"/>
                <w:szCs w:val="24"/>
              </w:rPr>
              <w:t>Further Actions</w:t>
            </w:r>
          </w:p>
        </w:tc>
      </w:tr>
      <w:tr w:rsidR="007305BF" w:rsidRPr="00F33A7F" w14:paraId="17233443" w14:textId="77777777" w:rsidTr="000931CF">
        <w:tc>
          <w:tcPr>
            <w:tcW w:w="601" w:type="dxa"/>
            <w:gridSpan w:val="2"/>
            <w:shd w:val="clear" w:color="auto" w:fill="auto"/>
          </w:tcPr>
          <w:p w14:paraId="2A11A9B4" w14:textId="77777777" w:rsidR="007305BF" w:rsidRPr="002C3DEC" w:rsidRDefault="007305BF" w:rsidP="00C35107">
            <w:pPr>
              <w:spacing w:before="40"/>
              <w:rPr>
                <w:rFonts w:asciiTheme="minorHAnsi" w:hAnsi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9037" w:type="dxa"/>
            <w:gridSpan w:val="2"/>
            <w:shd w:val="clear" w:color="auto" w:fill="auto"/>
          </w:tcPr>
          <w:p w14:paraId="09798D02" w14:textId="75BCE50D" w:rsidR="007305BF" w:rsidRPr="0084796C" w:rsidRDefault="0084796C" w:rsidP="0084796C">
            <w:pPr>
              <w:ind w:left="17" w:hanging="11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Subject to approv</w:t>
            </w:r>
            <w:r w:rsidR="00CB0F10">
              <w:rPr>
                <w:rFonts w:asciiTheme="minorHAnsi" w:hAnsiTheme="minorHAnsi" w:cs="Calibri"/>
                <w:sz w:val="24"/>
                <w:szCs w:val="24"/>
              </w:rPr>
              <w:t>al</w:t>
            </w:r>
            <w:r>
              <w:rPr>
                <w:rFonts w:asciiTheme="minorHAnsi" w:hAnsiTheme="minorHAnsi" w:cs="Calibri"/>
                <w:sz w:val="24"/>
                <w:szCs w:val="24"/>
              </w:rPr>
              <w:t xml:space="preserve">, </w:t>
            </w:r>
            <w:r w:rsidR="00535428">
              <w:rPr>
                <w:rFonts w:asciiTheme="minorHAnsi" w:hAnsiTheme="minorHAnsi" w:cs="Calibri"/>
                <w:sz w:val="24"/>
                <w:szCs w:val="24"/>
              </w:rPr>
              <w:t>we will update the policy and make the relevant corresponding adjustment to the SIBM’s role description as stated within the paper.</w:t>
            </w:r>
          </w:p>
        </w:tc>
      </w:tr>
    </w:tbl>
    <w:p w14:paraId="48CEAA3E" w14:textId="77777777" w:rsidR="003F6506" w:rsidRPr="007A7CBC" w:rsidRDefault="003F6506">
      <w:pPr>
        <w:rPr>
          <w:rFonts w:ascii="Helvetica 65 Medium" w:hAnsi="Helvetica 65 Medium"/>
          <w:sz w:val="24"/>
          <w:szCs w:val="24"/>
        </w:rPr>
      </w:pPr>
    </w:p>
    <w:sectPr w:rsidR="003F6506" w:rsidRPr="007A7CBC" w:rsidSect="00D5056F">
      <w:headerReference w:type="default" r:id="rId10"/>
      <w:footerReference w:type="default" r:id="rId11"/>
      <w:footerReference w:type="first" r:id="rId12"/>
      <w:pgSz w:w="11906" w:h="16838" w:code="9"/>
      <w:pgMar w:top="567" w:right="1134" w:bottom="1134" w:left="1134" w:header="720" w:footer="2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B897" w14:textId="77777777" w:rsidR="002B2437" w:rsidRDefault="002B2437">
      <w:r>
        <w:separator/>
      </w:r>
    </w:p>
  </w:endnote>
  <w:endnote w:type="continuationSeparator" w:id="0">
    <w:p w14:paraId="2C9D7B25" w14:textId="77777777" w:rsidR="002B2437" w:rsidRDefault="002B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65 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844D" w14:textId="4C3117EA" w:rsidR="002741C9" w:rsidRDefault="00A22D67" w:rsidP="002741C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Board</w:t>
    </w:r>
    <w:r w:rsidR="00CB0F10">
      <w:rPr>
        <w:rFonts w:asciiTheme="minorHAnsi" w:hAnsiTheme="minorHAnsi" w:cstheme="minorHAnsi"/>
      </w:rPr>
      <w:t xml:space="preserve"> Meeting</w:t>
    </w:r>
  </w:p>
  <w:p w14:paraId="126F3AFC" w14:textId="7CF25871" w:rsidR="00CB0F10" w:rsidRPr="002741C9" w:rsidRDefault="00CB0F10" w:rsidP="002741C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Open Session</w:t>
    </w:r>
  </w:p>
  <w:p w14:paraId="640C78C7" w14:textId="632488E4" w:rsidR="002741C9" w:rsidRPr="002741C9" w:rsidRDefault="00A22D67" w:rsidP="002741C9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21 July</w:t>
    </w:r>
    <w:r w:rsidR="002741C9" w:rsidRPr="002741C9">
      <w:rPr>
        <w:rFonts w:asciiTheme="minorHAnsi" w:hAnsiTheme="minorHAnsi" w:cstheme="minorHAnsi"/>
      </w:rPr>
      <w:t xml:space="preserve"> 2021</w:t>
    </w:r>
  </w:p>
  <w:p w14:paraId="6DB7FDCB" w14:textId="77777777" w:rsidR="002741C9" w:rsidRDefault="00274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1A092" w14:textId="25296A46" w:rsidR="002741C9" w:rsidRDefault="00CB0F1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Board Meeting</w:t>
    </w:r>
  </w:p>
  <w:p w14:paraId="48216552" w14:textId="21174F62" w:rsidR="00CB0F10" w:rsidRPr="002741C9" w:rsidRDefault="00CB0F1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Open Session</w:t>
    </w:r>
  </w:p>
  <w:p w14:paraId="2C73CFA1" w14:textId="40DEC08B" w:rsidR="002741C9" w:rsidRPr="002741C9" w:rsidRDefault="00CB0F10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21 July</w:t>
    </w:r>
    <w:r w:rsidR="002741C9" w:rsidRPr="002741C9">
      <w:rPr>
        <w:rFonts w:asciiTheme="minorHAnsi" w:hAnsiTheme="minorHAnsi" w:cstheme="minorHAnsi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C4A7" w14:textId="77777777" w:rsidR="002B2437" w:rsidRDefault="002B2437">
      <w:r>
        <w:separator/>
      </w:r>
    </w:p>
  </w:footnote>
  <w:footnote w:type="continuationSeparator" w:id="0">
    <w:p w14:paraId="294D6132" w14:textId="77777777" w:rsidR="002B2437" w:rsidRDefault="002B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DDC2" w14:textId="1C1903A7" w:rsidR="007002BA" w:rsidRPr="001403E3" w:rsidRDefault="00AF00D7" w:rsidP="005D5486">
    <w:pPr>
      <w:tabs>
        <w:tab w:val="left" w:pos="1134"/>
      </w:tabs>
      <w:ind w:left="567" w:hanging="567"/>
      <w:jc w:val="right"/>
      <w:rPr>
        <w:rFonts w:ascii="Calibri" w:hAnsi="Calibri" w:cs="Calibri"/>
        <w:b/>
        <w:sz w:val="24"/>
        <w:szCs w:val="24"/>
      </w:rPr>
    </w:pPr>
    <w:r w:rsidRPr="001403E3">
      <w:rPr>
        <w:rFonts w:ascii="Calibri" w:hAnsi="Calibri" w:cs="Calibri"/>
        <w:b/>
        <w:sz w:val="24"/>
        <w:szCs w:val="24"/>
      </w:rPr>
      <w:t>Continuation of agenda item</w:t>
    </w:r>
    <w:r w:rsidRPr="001403E3">
      <w:rPr>
        <w:rFonts w:ascii="Calibri" w:hAnsi="Calibri" w:cs="Calibri"/>
        <w:b/>
        <w:sz w:val="24"/>
        <w:szCs w:val="24"/>
      </w:rPr>
      <w:fldChar w:fldCharType="begin"/>
    </w:r>
    <w:r w:rsidRPr="001403E3">
      <w:rPr>
        <w:rFonts w:ascii="Calibri" w:hAnsi="Calibri" w:cs="Calibri"/>
        <w:b/>
        <w:sz w:val="24"/>
        <w:szCs w:val="24"/>
      </w:rPr>
      <w:instrText xml:space="preserve"> QUOTE   \* MERGEFORMAT </w:instrText>
    </w:r>
    <w:r w:rsidRPr="001403E3">
      <w:rPr>
        <w:rFonts w:ascii="Calibri" w:hAnsi="Calibri" w:cs="Calibri"/>
        <w:b/>
        <w:sz w:val="24"/>
        <w:szCs w:val="24"/>
      </w:rPr>
      <w:fldChar w:fldCharType="end"/>
    </w:r>
    <w:r w:rsidRPr="001403E3">
      <w:rPr>
        <w:rFonts w:ascii="Calibri" w:hAnsi="Calibri" w:cs="Calibri"/>
        <w:b/>
        <w:sz w:val="24"/>
        <w:szCs w:val="24"/>
      </w:rPr>
      <w:t xml:space="preserve"> </w:t>
    </w:r>
    <w:r w:rsidR="00580881">
      <w:rPr>
        <w:rFonts w:ascii="Calibri" w:hAnsi="Calibri" w:cs="Calibri"/>
        <w:b/>
        <w:sz w:val="24"/>
        <w:szCs w:val="24"/>
      </w:rPr>
      <w:t>7</w:t>
    </w:r>
  </w:p>
  <w:p w14:paraId="51563FA8" w14:textId="77777777" w:rsidR="00AF00D7" w:rsidRPr="00F33A7F" w:rsidRDefault="00AF00D7" w:rsidP="005D5486">
    <w:pPr>
      <w:tabs>
        <w:tab w:val="left" w:pos="1134"/>
      </w:tabs>
      <w:ind w:left="567" w:hanging="567"/>
      <w:jc w:val="right"/>
      <w:rPr>
        <w:rFonts w:ascii="Calibri" w:hAnsi="Calibri" w:cs="Calibri"/>
        <w:sz w:val="24"/>
        <w:szCs w:val="24"/>
      </w:rPr>
    </w:pPr>
    <w:r w:rsidRPr="00F33A7F">
      <w:rPr>
        <w:rFonts w:ascii="Calibri" w:hAnsi="Calibri" w:cs="Calibri"/>
        <w:sz w:val="24"/>
        <w:szCs w:val="24"/>
      </w:rPr>
      <w:fldChar w:fldCharType="begin"/>
    </w:r>
    <w:r w:rsidRPr="00F33A7F">
      <w:rPr>
        <w:rFonts w:ascii="Calibri" w:hAnsi="Calibri" w:cs="Calibri"/>
        <w:sz w:val="24"/>
        <w:szCs w:val="24"/>
      </w:rPr>
      <w:instrText xml:space="preserve"> QUOTE   \* MERGEFORMAT </w:instrText>
    </w:r>
    <w:r w:rsidRPr="00F33A7F">
      <w:rPr>
        <w:rFonts w:ascii="Calibri" w:hAnsi="Calibri" w:cs="Calibri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1B9"/>
    <w:multiLevelType w:val="hybridMultilevel"/>
    <w:tmpl w:val="3822D4CE"/>
    <w:lvl w:ilvl="0" w:tplc="EF2CFE72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566"/>
    <w:multiLevelType w:val="multilevel"/>
    <w:tmpl w:val="27042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666B7"/>
    <w:multiLevelType w:val="hybridMultilevel"/>
    <w:tmpl w:val="2DD6D77E"/>
    <w:lvl w:ilvl="0" w:tplc="33BC0F7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3B6"/>
    <w:multiLevelType w:val="hybridMultilevel"/>
    <w:tmpl w:val="11D0D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5E8D"/>
    <w:multiLevelType w:val="hybridMultilevel"/>
    <w:tmpl w:val="E9B8C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0F88"/>
    <w:multiLevelType w:val="hybridMultilevel"/>
    <w:tmpl w:val="D61218A4"/>
    <w:lvl w:ilvl="0" w:tplc="00D6897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287199"/>
    <w:multiLevelType w:val="hybridMultilevel"/>
    <w:tmpl w:val="9170E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22658"/>
    <w:multiLevelType w:val="hybridMultilevel"/>
    <w:tmpl w:val="4CE08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93D34"/>
    <w:multiLevelType w:val="hybridMultilevel"/>
    <w:tmpl w:val="5D46DDA2"/>
    <w:lvl w:ilvl="0" w:tplc="00D6897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647811"/>
    <w:multiLevelType w:val="hybridMultilevel"/>
    <w:tmpl w:val="020AA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17873"/>
    <w:multiLevelType w:val="hybridMultilevel"/>
    <w:tmpl w:val="498E6426"/>
    <w:lvl w:ilvl="0" w:tplc="00D6897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230779"/>
    <w:multiLevelType w:val="hybridMultilevel"/>
    <w:tmpl w:val="BC8A944C"/>
    <w:lvl w:ilvl="0" w:tplc="FEC2110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551B"/>
    <w:multiLevelType w:val="hybridMultilevel"/>
    <w:tmpl w:val="653E5D3E"/>
    <w:lvl w:ilvl="0" w:tplc="41C4894C">
      <w:start w:val="1"/>
      <w:numFmt w:val="lowerRoman"/>
      <w:lvlText w:val="%1."/>
      <w:lvlJc w:val="right"/>
      <w:pPr>
        <w:tabs>
          <w:tab w:val="num" w:pos="340"/>
        </w:tabs>
        <w:ind w:left="340" w:hanging="52"/>
      </w:pPr>
      <w:rPr>
        <w:rFonts w:ascii="Helvetica 65 Medium" w:hAnsi="Helvetica 65 Medium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97E8F"/>
    <w:multiLevelType w:val="hybridMultilevel"/>
    <w:tmpl w:val="1C5E97DC"/>
    <w:lvl w:ilvl="0" w:tplc="00D6897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34CCD"/>
    <w:multiLevelType w:val="hybridMultilevel"/>
    <w:tmpl w:val="1B24AD50"/>
    <w:lvl w:ilvl="0" w:tplc="1D8AA2D2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76F5C"/>
    <w:multiLevelType w:val="hybridMultilevel"/>
    <w:tmpl w:val="918E96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73ACE"/>
    <w:multiLevelType w:val="hybridMultilevel"/>
    <w:tmpl w:val="469ADC82"/>
    <w:lvl w:ilvl="0" w:tplc="A76207B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13"/>
  </w:num>
  <w:num w:numId="6">
    <w:abstractNumId w:val="8"/>
  </w:num>
  <w:num w:numId="7">
    <w:abstractNumId w:val="7"/>
  </w:num>
  <w:num w:numId="8">
    <w:abstractNumId w:val="16"/>
  </w:num>
  <w:num w:numId="9">
    <w:abstractNumId w:val="14"/>
  </w:num>
  <w:num w:numId="10">
    <w:abstractNumId w:val="6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90"/>
    <w:rsid w:val="000044D8"/>
    <w:rsid w:val="00006C4E"/>
    <w:rsid w:val="0001471C"/>
    <w:rsid w:val="000205C1"/>
    <w:rsid w:val="0003256F"/>
    <w:rsid w:val="00034550"/>
    <w:rsid w:val="00041C07"/>
    <w:rsid w:val="00045701"/>
    <w:rsid w:val="000473AD"/>
    <w:rsid w:val="00051533"/>
    <w:rsid w:val="000552AB"/>
    <w:rsid w:val="00055B34"/>
    <w:rsid w:val="0006597F"/>
    <w:rsid w:val="0007154D"/>
    <w:rsid w:val="00083A8D"/>
    <w:rsid w:val="000931CF"/>
    <w:rsid w:val="000A4EC6"/>
    <w:rsid w:val="000A63A2"/>
    <w:rsid w:val="000B550B"/>
    <w:rsid w:val="000C067C"/>
    <w:rsid w:val="000C2081"/>
    <w:rsid w:val="000C30B6"/>
    <w:rsid w:val="000C44E0"/>
    <w:rsid w:val="000C6544"/>
    <w:rsid w:val="000D1D67"/>
    <w:rsid w:val="000E5497"/>
    <w:rsid w:val="000E67D7"/>
    <w:rsid w:val="000E6913"/>
    <w:rsid w:val="000F777A"/>
    <w:rsid w:val="000F7C8F"/>
    <w:rsid w:val="00101B16"/>
    <w:rsid w:val="00101BEB"/>
    <w:rsid w:val="00102268"/>
    <w:rsid w:val="00102A9F"/>
    <w:rsid w:val="00104CBF"/>
    <w:rsid w:val="00104F3E"/>
    <w:rsid w:val="00111B11"/>
    <w:rsid w:val="0011287A"/>
    <w:rsid w:val="00115880"/>
    <w:rsid w:val="00121212"/>
    <w:rsid w:val="00121F48"/>
    <w:rsid w:val="0012250C"/>
    <w:rsid w:val="00131386"/>
    <w:rsid w:val="001403E3"/>
    <w:rsid w:val="00151E18"/>
    <w:rsid w:val="001522F2"/>
    <w:rsid w:val="00152D63"/>
    <w:rsid w:val="0015319D"/>
    <w:rsid w:val="00155129"/>
    <w:rsid w:val="00160D4F"/>
    <w:rsid w:val="001628F6"/>
    <w:rsid w:val="0016390A"/>
    <w:rsid w:val="00170317"/>
    <w:rsid w:val="0019191A"/>
    <w:rsid w:val="001934B9"/>
    <w:rsid w:val="001977EC"/>
    <w:rsid w:val="001A6473"/>
    <w:rsid w:val="001B1863"/>
    <w:rsid w:val="001B6AF8"/>
    <w:rsid w:val="001C428C"/>
    <w:rsid w:val="001C7190"/>
    <w:rsid w:val="001C76BF"/>
    <w:rsid w:val="001D60AD"/>
    <w:rsid w:val="001E021C"/>
    <w:rsid w:val="001F1224"/>
    <w:rsid w:val="001F71B4"/>
    <w:rsid w:val="00211D96"/>
    <w:rsid w:val="00213806"/>
    <w:rsid w:val="00220D76"/>
    <w:rsid w:val="00222837"/>
    <w:rsid w:val="0022306A"/>
    <w:rsid w:val="00223411"/>
    <w:rsid w:val="002238C2"/>
    <w:rsid w:val="00224BEA"/>
    <w:rsid w:val="00233502"/>
    <w:rsid w:val="00241CB9"/>
    <w:rsid w:val="00241E2E"/>
    <w:rsid w:val="002438DB"/>
    <w:rsid w:val="002525C0"/>
    <w:rsid w:val="00252AA1"/>
    <w:rsid w:val="00254562"/>
    <w:rsid w:val="002667A5"/>
    <w:rsid w:val="002741C9"/>
    <w:rsid w:val="002814DB"/>
    <w:rsid w:val="002818DB"/>
    <w:rsid w:val="00290707"/>
    <w:rsid w:val="002B2437"/>
    <w:rsid w:val="002C17B9"/>
    <w:rsid w:val="002C3DEC"/>
    <w:rsid w:val="002C4F8D"/>
    <w:rsid w:val="00301DF7"/>
    <w:rsid w:val="00323AA7"/>
    <w:rsid w:val="003339C7"/>
    <w:rsid w:val="00337C05"/>
    <w:rsid w:val="00344668"/>
    <w:rsid w:val="003462CB"/>
    <w:rsid w:val="0035263D"/>
    <w:rsid w:val="00353BB5"/>
    <w:rsid w:val="0035419F"/>
    <w:rsid w:val="003542B9"/>
    <w:rsid w:val="00354A0D"/>
    <w:rsid w:val="00361FD2"/>
    <w:rsid w:val="003659ED"/>
    <w:rsid w:val="00371372"/>
    <w:rsid w:val="003733D7"/>
    <w:rsid w:val="00373B52"/>
    <w:rsid w:val="003767D4"/>
    <w:rsid w:val="00380116"/>
    <w:rsid w:val="00394F2C"/>
    <w:rsid w:val="003A10E2"/>
    <w:rsid w:val="003A54E0"/>
    <w:rsid w:val="003B2B44"/>
    <w:rsid w:val="003C4F1D"/>
    <w:rsid w:val="003D2202"/>
    <w:rsid w:val="003E1BE3"/>
    <w:rsid w:val="003E5FDC"/>
    <w:rsid w:val="003F1F7B"/>
    <w:rsid w:val="003F4696"/>
    <w:rsid w:val="003F5F2A"/>
    <w:rsid w:val="003F6506"/>
    <w:rsid w:val="004016E7"/>
    <w:rsid w:val="0042145F"/>
    <w:rsid w:val="0042428A"/>
    <w:rsid w:val="00432CA1"/>
    <w:rsid w:val="00433C1F"/>
    <w:rsid w:val="004420E6"/>
    <w:rsid w:val="00451033"/>
    <w:rsid w:val="004526A6"/>
    <w:rsid w:val="0045495E"/>
    <w:rsid w:val="00461E38"/>
    <w:rsid w:val="004702F4"/>
    <w:rsid w:val="004758E8"/>
    <w:rsid w:val="00483259"/>
    <w:rsid w:val="004979BA"/>
    <w:rsid w:val="004B4E38"/>
    <w:rsid w:val="004B4EBA"/>
    <w:rsid w:val="004C583A"/>
    <w:rsid w:val="004E7876"/>
    <w:rsid w:val="004F39ED"/>
    <w:rsid w:val="004F4FA5"/>
    <w:rsid w:val="005016C3"/>
    <w:rsid w:val="00501DAB"/>
    <w:rsid w:val="0050369D"/>
    <w:rsid w:val="005106CD"/>
    <w:rsid w:val="005163E2"/>
    <w:rsid w:val="00523614"/>
    <w:rsid w:val="005249F9"/>
    <w:rsid w:val="00524D11"/>
    <w:rsid w:val="00526970"/>
    <w:rsid w:val="005278FA"/>
    <w:rsid w:val="00535428"/>
    <w:rsid w:val="00540C82"/>
    <w:rsid w:val="0055033C"/>
    <w:rsid w:val="005579DA"/>
    <w:rsid w:val="00562390"/>
    <w:rsid w:val="00564039"/>
    <w:rsid w:val="0056733D"/>
    <w:rsid w:val="0057381D"/>
    <w:rsid w:val="00580881"/>
    <w:rsid w:val="005838C8"/>
    <w:rsid w:val="00595F38"/>
    <w:rsid w:val="00596829"/>
    <w:rsid w:val="00596E1B"/>
    <w:rsid w:val="005A436D"/>
    <w:rsid w:val="005B5108"/>
    <w:rsid w:val="005D06EA"/>
    <w:rsid w:val="005D356A"/>
    <w:rsid w:val="005D5486"/>
    <w:rsid w:val="005E2FF1"/>
    <w:rsid w:val="005E75E4"/>
    <w:rsid w:val="00603B1E"/>
    <w:rsid w:val="00607224"/>
    <w:rsid w:val="00622055"/>
    <w:rsid w:val="006234CE"/>
    <w:rsid w:val="00624B5C"/>
    <w:rsid w:val="00633785"/>
    <w:rsid w:val="00635EEF"/>
    <w:rsid w:val="0064461B"/>
    <w:rsid w:val="00654751"/>
    <w:rsid w:val="00657792"/>
    <w:rsid w:val="006826B1"/>
    <w:rsid w:val="0068739F"/>
    <w:rsid w:val="00694D37"/>
    <w:rsid w:val="006A1058"/>
    <w:rsid w:val="006B01AF"/>
    <w:rsid w:val="006B3F94"/>
    <w:rsid w:val="006B507A"/>
    <w:rsid w:val="006B5BD6"/>
    <w:rsid w:val="006B6EA3"/>
    <w:rsid w:val="006C0DDC"/>
    <w:rsid w:val="006C2B50"/>
    <w:rsid w:val="006D4086"/>
    <w:rsid w:val="006D495D"/>
    <w:rsid w:val="006D4C4E"/>
    <w:rsid w:val="006D5E7C"/>
    <w:rsid w:val="006E02FC"/>
    <w:rsid w:val="006F2E13"/>
    <w:rsid w:val="006F5E1B"/>
    <w:rsid w:val="007002BA"/>
    <w:rsid w:val="0070645A"/>
    <w:rsid w:val="00707B87"/>
    <w:rsid w:val="00707C2B"/>
    <w:rsid w:val="0071097D"/>
    <w:rsid w:val="00714A11"/>
    <w:rsid w:val="00724755"/>
    <w:rsid w:val="007305BF"/>
    <w:rsid w:val="007324C5"/>
    <w:rsid w:val="0073540A"/>
    <w:rsid w:val="00745B82"/>
    <w:rsid w:val="00756534"/>
    <w:rsid w:val="00757B82"/>
    <w:rsid w:val="00761F72"/>
    <w:rsid w:val="007925C5"/>
    <w:rsid w:val="007A7CBC"/>
    <w:rsid w:val="007C0637"/>
    <w:rsid w:val="007C243E"/>
    <w:rsid w:val="007C4F1E"/>
    <w:rsid w:val="007D30B9"/>
    <w:rsid w:val="007E65FE"/>
    <w:rsid w:val="007F594C"/>
    <w:rsid w:val="008026D0"/>
    <w:rsid w:val="00804E29"/>
    <w:rsid w:val="008133E5"/>
    <w:rsid w:val="0081484E"/>
    <w:rsid w:val="008209F9"/>
    <w:rsid w:val="00830840"/>
    <w:rsid w:val="00833324"/>
    <w:rsid w:val="00833E88"/>
    <w:rsid w:val="00842819"/>
    <w:rsid w:val="0084796C"/>
    <w:rsid w:val="0086129B"/>
    <w:rsid w:val="008752EE"/>
    <w:rsid w:val="008763E9"/>
    <w:rsid w:val="008840D7"/>
    <w:rsid w:val="00885923"/>
    <w:rsid w:val="00891DAC"/>
    <w:rsid w:val="008B286B"/>
    <w:rsid w:val="008B40B6"/>
    <w:rsid w:val="008C1914"/>
    <w:rsid w:val="008C205B"/>
    <w:rsid w:val="008D048F"/>
    <w:rsid w:val="008D578F"/>
    <w:rsid w:val="008F0889"/>
    <w:rsid w:val="00900D72"/>
    <w:rsid w:val="00901A18"/>
    <w:rsid w:val="00902FCF"/>
    <w:rsid w:val="009112FF"/>
    <w:rsid w:val="00922807"/>
    <w:rsid w:val="009302BC"/>
    <w:rsid w:val="00943FC4"/>
    <w:rsid w:val="00945348"/>
    <w:rsid w:val="00955243"/>
    <w:rsid w:val="00971B6E"/>
    <w:rsid w:val="00973FD5"/>
    <w:rsid w:val="00976EAA"/>
    <w:rsid w:val="00982BAF"/>
    <w:rsid w:val="009946E1"/>
    <w:rsid w:val="009B2B95"/>
    <w:rsid w:val="009D04EB"/>
    <w:rsid w:val="009D46EF"/>
    <w:rsid w:val="009E20DE"/>
    <w:rsid w:val="009E30FA"/>
    <w:rsid w:val="009E3192"/>
    <w:rsid w:val="009F10A1"/>
    <w:rsid w:val="009F16B6"/>
    <w:rsid w:val="00A06672"/>
    <w:rsid w:val="00A11E4E"/>
    <w:rsid w:val="00A217C4"/>
    <w:rsid w:val="00A22D67"/>
    <w:rsid w:val="00A23611"/>
    <w:rsid w:val="00A23EFF"/>
    <w:rsid w:val="00A314F2"/>
    <w:rsid w:val="00A318A6"/>
    <w:rsid w:val="00A3277C"/>
    <w:rsid w:val="00A32B49"/>
    <w:rsid w:val="00A35F47"/>
    <w:rsid w:val="00A46771"/>
    <w:rsid w:val="00A5741B"/>
    <w:rsid w:val="00A66E7F"/>
    <w:rsid w:val="00A72692"/>
    <w:rsid w:val="00A8169C"/>
    <w:rsid w:val="00A908A0"/>
    <w:rsid w:val="00A974FC"/>
    <w:rsid w:val="00AA6234"/>
    <w:rsid w:val="00AA75AE"/>
    <w:rsid w:val="00AB16F0"/>
    <w:rsid w:val="00AB508F"/>
    <w:rsid w:val="00AC2445"/>
    <w:rsid w:val="00AC3FE2"/>
    <w:rsid w:val="00AC74F8"/>
    <w:rsid w:val="00AD1E96"/>
    <w:rsid w:val="00AD575E"/>
    <w:rsid w:val="00AE1AA2"/>
    <w:rsid w:val="00AF00D7"/>
    <w:rsid w:val="00AF3E50"/>
    <w:rsid w:val="00B00031"/>
    <w:rsid w:val="00B0636E"/>
    <w:rsid w:val="00B319A4"/>
    <w:rsid w:val="00B35843"/>
    <w:rsid w:val="00B5062D"/>
    <w:rsid w:val="00B5122E"/>
    <w:rsid w:val="00B54752"/>
    <w:rsid w:val="00B623DA"/>
    <w:rsid w:val="00B62B1C"/>
    <w:rsid w:val="00B656D8"/>
    <w:rsid w:val="00B730AC"/>
    <w:rsid w:val="00B84527"/>
    <w:rsid w:val="00B84F40"/>
    <w:rsid w:val="00B926DB"/>
    <w:rsid w:val="00B966F5"/>
    <w:rsid w:val="00BA15AB"/>
    <w:rsid w:val="00BA6F60"/>
    <w:rsid w:val="00BB32D4"/>
    <w:rsid w:val="00BC3C62"/>
    <w:rsid w:val="00BE015A"/>
    <w:rsid w:val="00BF707F"/>
    <w:rsid w:val="00C12658"/>
    <w:rsid w:val="00C12BE9"/>
    <w:rsid w:val="00C17258"/>
    <w:rsid w:val="00C254C7"/>
    <w:rsid w:val="00C271B8"/>
    <w:rsid w:val="00C35107"/>
    <w:rsid w:val="00C3685A"/>
    <w:rsid w:val="00C43F59"/>
    <w:rsid w:val="00C4677F"/>
    <w:rsid w:val="00C649C8"/>
    <w:rsid w:val="00C7435E"/>
    <w:rsid w:val="00C80270"/>
    <w:rsid w:val="00C849CA"/>
    <w:rsid w:val="00C84DCA"/>
    <w:rsid w:val="00C927EE"/>
    <w:rsid w:val="00CB0F10"/>
    <w:rsid w:val="00CB2D61"/>
    <w:rsid w:val="00CB725B"/>
    <w:rsid w:val="00CD17D4"/>
    <w:rsid w:val="00CD5401"/>
    <w:rsid w:val="00CD7807"/>
    <w:rsid w:val="00CE26C4"/>
    <w:rsid w:val="00CE6FCC"/>
    <w:rsid w:val="00CF015A"/>
    <w:rsid w:val="00CF52A8"/>
    <w:rsid w:val="00CF7C88"/>
    <w:rsid w:val="00D03967"/>
    <w:rsid w:val="00D10E5B"/>
    <w:rsid w:val="00D168CC"/>
    <w:rsid w:val="00D173AF"/>
    <w:rsid w:val="00D20421"/>
    <w:rsid w:val="00D21418"/>
    <w:rsid w:val="00D36C19"/>
    <w:rsid w:val="00D416B0"/>
    <w:rsid w:val="00D5056F"/>
    <w:rsid w:val="00D60AC9"/>
    <w:rsid w:val="00D65FA7"/>
    <w:rsid w:val="00D740A0"/>
    <w:rsid w:val="00D74954"/>
    <w:rsid w:val="00D75CD2"/>
    <w:rsid w:val="00D80101"/>
    <w:rsid w:val="00D813C1"/>
    <w:rsid w:val="00D82549"/>
    <w:rsid w:val="00D86B4A"/>
    <w:rsid w:val="00DB2703"/>
    <w:rsid w:val="00DB2AF9"/>
    <w:rsid w:val="00DB2D00"/>
    <w:rsid w:val="00DC212E"/>
    <w:rsid w:val="00DC22A9"/>
    <w:rsid w:val="00DC601D"/>
    <w:rsid w:val="00DD09B6"/>
    <w:rsid w:val="00DE08F0"/>
    <w:rsid w:val="00DE6A47"/>
    <w:rsid w:val="00DF0C5B"/>
    <w:rsid w:val="00DF4765"/>
    <w:rsid w:val="00E13081"/>
    <w:rsid w:val="00E20662"/>
    <w:rsid w:val="00E24A5F"/>
    <w:rsid w:val="00E26977"/>
    <w:rsid w:val="00E327D4"/>
    <w:rsid w:val="00E34285"/>
    <w:rsid w:val="00E3428E"/>
    <w:rsid w:val="00E35223"/>
    <w:rsid w:val="00E36B3A"/>
    <w:rsid w:val="00E4389F"/>
    <w:rsid w:val="00E43A50"/>
    <w:rsid w:val="00E43C39"/>
    <w:rsid w:val="00E64651"/>
    <w:rsid w:val="00E656C8"/>
    <w:rsid w:val="00E65BC2"/>
    <w:rsid w:val="00E720ED"/>
    <w:rsid w:val="00E74669"/>
    <w:rsid w:val="00E9361C"/>
    <w:rsid w:val="00E950D4"/>
    <w:rsid w:val="00EA03DF"/>
    <w:rsid w:val="00EA1AC5"/>
    <w:rsid w:val="00EC1707"/>
    <w:rsid w:val="00EC41F2"/>
    <w:rsid w:val="00ED1A7A"/>
    <w:rsid w:val="00ED2874"/>
    <w:rsid w:val="00ED4D13"/>
    <w:rsid w:val="00EF1DCB"/>
    <w:rsid w:val="00EF5C48"/>
    <w:rsid w:val="00F045BA"/>
    <w:rsid w:val="00F07C9A"/>
    <w:rsid w:val="00F142A0"/>
    <w:rsid w:val="00F262DC"/>
    <w:rsid w:val="00F33A7F"/>
    <w:rsid w:val="00F34A4D"/>
    <w:rsid w:val="00F353A7"/>
    <w:rsid w:val="00F45379"/>
    <w:rsid w:val="00F5042D"/>
    <w:rsid w:val="00F505FE"/>
    <w:rsid w:val="00F611DF"/>
    <w:rsid w:val="00F63BDD"/>
    <w:rsid w:val="00F7549D"/>
    <w:rsid w:val="00F75CA3"/>
    <w:rsid w:val="00F77EAD"/>
    <w:rsid w:val="00F8755F"/>
    <w:rsid w:val="00F94246"/>
    <w:rsid w:val="00FA33A1"/>
    <w:rsid w:val="00FA62E3"/>
    <w:rsid w:val="00FB0C3C"/>
    <w:rsid w:val="00FB5DC3"/>
    <w:rsid w:val="00FC1990"/>
    <w:rsid w:val="00FC271E"/>
    <w:rsid w:val="00FE5A6A"/>
    <w:rsid w:val="00FE6882"/>
    <w:rsid w:val="00FE726F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."/>
  <w:listSeparator w:val=","/>
  <w14:docId w14:val="34AA6EFD"/>
  <w15:docId w15:val="{D4AAC230-9FE9-4F63-8102-BBD9233C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547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22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2268"/>
    <w:pPr>
      <w:tabs>
        <w:tab w:val="center" w:pos="4320"/>
        <w:tab w:val="right" w:pos="8640"/>
      </w:tabs>
    </w:pPr>
  </w:style>
  <w:style w:type="character" w:styleId="Hyperlink">
    <w:name w:val="Hyperlink"/>
    <w:rsid w:val="001A6473"/>
    <w:rPr>
      <w:color w:val="0000FF"/>
      <w:u w:val="single"/>
    </w:rPr>
  </w:style>
  <w:style w:type="character" w:styleId="FollowedHyperlink">
    <w:name w:val="FollowedHyperlink"/>
    <w:rsid w:val="009112FF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26B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6B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826B1"/>
    <w:rPr>
      <w:vertAlign w:val="superscript"/>
    </w:rPr>
  </w:style>
  <w:style w:type="paragraph" w:customStyle="1" w:styleId="SUBJECTLETTER">
    <w:name w:val="SUBJECT LETTER"/>
    <w:basedOn w:val="Normal"/>
    <w:qFormat/>
    <w:rsid w:val="00055B34"/>
    <w:pPr>
      <w:widowControl w:val="0"/>
      <w:suppressAutoHyphens/>
      <w:autoSpaceDE w:val="0"/>
      <w:autoSpaceDN w:val="0"/>
      <w:adjustRightInd w:val="0"/>
      <w:spacing w:line="280" w:lineRule="atLeast"/>
      <w:textAlignment w:val="center"/>
    </w:pPr>
    <w:rPr>
      <w:rFonts w:ascii="HelveticaNeueLT Std Med" w:hAnsi="HelveticaNeueLT Std Med"/>
      <w:color w:val="000000"/>
      <w:sz w:val="24"/>
      <w:szCs w:val="24"/>
    </w:rPr>
  </w:style>
  <w:style w:type="paragraph" w:styleId="ListParagraph">
    <w:name w:val="List Paragraph"/>
    <w:basedOn w:val="Normal"/>
    <w:qFormat/>
    <w:rsid w:val="00A5741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4EC6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4EC6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461E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931C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5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1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4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4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4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s@arb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46DC4-7694-4491-ABCC-C9C2790C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3</Pages>
  <Words>1004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ARB Committee Paper</vt:lpstr>
    </vt:vector>
  </TitlesOfParts>
  <Company>ARB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 Committee Paper</dc:title>
  <dc:creator>Vicky Aitchison</dc:creator>
  <cp:lastModifiedBy>Jodie James</cp:lastModifiedBy>
  <cp:revision>19</cp:revision>
  <cp:lastPrinted>2013-08-07T11:20:00Z</cp:lastPrinted>
  <dcterms:created xsi:type="dcterms:W3CDTF">2021-05-27T13:12:00Z</dcterms:created>
  <dcterms:modified xsi:type="dcterms:W3CDTF">2021-07-15T13:28:00Z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1668461227</vt:i4>
  </property>
  <property fmtid="{D5CDD505-2E9C-101B-9397-08002B2CF9AE}" pid="3" name="_EmailSubject">
    <vt:lpwstr>Board and Committee Paper Templates</vt:lpwstr>
  </property>
  <property fmtid="{D5CDD505-2E9C-101B-9397-08002B2CF9AE}" pid="4" name="_AuthorEmail">
    <vt:lpwstr>vickya@arb.org.uk</vt:lpwstr>
  </property>
  <property fmtid="{D5CDD505-2E9C-101B-9397-08002B2CF9AE}" pid="5" name="_AuthorEmailDisplayName">
    <vt:lpwstr>Vicky Aitchison</vt:lpwstr>
  </property>
  <property fmtid="{D5CDD505-2E9C-101B-9397-08002B2CF9AE}" pid="6" name="_PreviousAdHocReviewCycleID">
    <vt:i4>545627778</vt:i4>
  </property>
  <property fmtid="{D5CDD505-2E9C-101B-9397-08002B2CF9AE}" pid="7" name="_ReviewingToolsShownOnce">
    <vt:lpwstr/>
  </property>
</Properties>
</file>